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9" w:rsidRPr="000919AC" w:rsidRDefault="0045325F" w:rsidP="000919AC">
      <w:pPr>
        <w:spacing w:after="0" w:line="240" w:lineRule="auto"/>
        <w:jc w:val="both"/>
        <w:rPr>
          <w:rFonts w:asciiTheme="majorHAnsi" w:hAnsiTheme="majorHAnsi"/>
          <w:b/>
          <w:sz w:val="24"/>
          <w:szCs w:val="24"/>
        </w:rPr>
      </w:pPr>
      <w:r w:rsidRPr="000919AC">
        <w:rPr>
          <w:rFonts w:asciiTheme="majorHAnsi" w:eastAsia="Arial" w:hAnsiTheme="majorHAnsi" w:cs="Arial"/>
          <w:b/>
          <w:sz w:val="24"/>
          <w:szCs w:val="24"/>
        </w:rPr>
        <w:t>TABLAS DE APLICABILIDAD DE LAS OBLI</w:t>
      </w:r>
      <w:r w:rsidR="00715B0F" w:rsidRPr="000919AC">
        <w:rPr>
          <w:rFonts w:asciiTheme="majorHAnsi" w:eastAsia="Arial" w:hAnsiTheme="majorHAnsi" w:cs="Arial"/>
          <w:b/>
          <w:sz w:val="24"/>
          <w:szCs w:val="24"/>
        </w:rPr>
        <w:t>GACIONES DE TRANSPARENCIA COMUNES DE LOS SUJETOS OBLIGADOS DEL PODER EJECUTIVO, AYUNTAMIENTOS, ORGANISMOS MUNICIPALES Y PARTIDOS POLÍTICOS DEL ESTADO DE YU</w:t>
      </w:r>
      <w:r w:rsidR="00300372" w:rsidRPr="000919AC">
        <w:rPr>
          <w:rFonts w:asciiTheme="majorHAnsi" w:eastAsia="Arial" w:hAnsiTheme="majorHAnsi" w:cs="Arial"/>
          <w:b/>
          <w:sz w:val="24"/>
          <w:szCs w:val="24"/>
        </w:rPr>
        <w:t xml:space="preserve">CATÁN, EN TÉRMINOS DEL ÚLTIMO PÁRRAFO DEL ARTÍCULO 70 DE LA </w:t>
      </w:r>
      <w:r w:rsidRPr="000919AC">
        <w:rPr>
          <w:rFonts w:asciiTheme="majorHAnsi" w:eastAsia="Arial" w:hAnsiTheme="majorHAnsi" w:cs="Arial"/>
          <w:b/>
          <w:sz w:val="24"/>
          <w:szCs w:val="24"/>
        </w:rPr>
        <w:t>LEY GENERAL DE TRANSPARENCIA Y ACCESO A LA INFORMACIÓN PÚBLICA</w:t>
      </w:r>
    </w:p>
    <w:p w:rsidR="002A74C9" w:rsidRPr="000919AC" w:rsidRDefault="002A74C9" w:rsidP="000919AC">
      <w:pPr>
        <w:spacing w:after="0" w:line="240" w:lineRule="auto"/>
        <w:jc w:val="center"/>
        <w:rPr>
          <w:rFonts w:asciiTheme="majorHAnsi" w:hAnsiTheme="majorHAnsi"/>
          <w:b/>
          <w:sz w:val="24"/>
          <w:szCs w:val="24"/>
        </w:rPr>
      </w:pPr>
    </w:p>
    <w:p w:rsidR="00367B19" w:rsidRPr="000919AC" w:rsidRDefault="00367B19"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En la ciudad de Mérida, Yucatán, siendo las </w:t>
      </w:r>
      <w:r w:rsidR="00D43BD4" w:rsidRPr="000919AC">
        <w:rPr>
          <w:rFonts w:asciiTheme="majorHAnsi" w:eastAsia="Arial" w:hAnsiTheme="majorHAnsi" w:cs="Arial"/>
          <w:sz w:val="24"/>
          <w:szCs w:val="24"/>
        </w:rPr>
        <w:t>catorce</w:t>
      </w:r>
      <w:r w:rsidRPr="000919AC">
        <w:rPr>
          <w:rFonts w:asciiTheme="majorHAnsi" w:eastAsia="Arial" w:hAnsiTheme="majorHAnsi" w:cs="Arial"/>
          <w:sz w:val="24"/>
          <w:szCs w:val="24"/>
        </w:rPr>
        <w:t xml:space="preserve"> horas con </w:t>
      </w:r>
      <w:r w:rsidR="00D43BD4" w:rsidRPr="000919AC">
        <w:rPr>
          <w:rFonts w:asciiTheme="majorHAnsi" w:eastAsia="Arial" w:hAnsiTheme="majorHAnsi" w:cs="Arial"/>
          <w:sz w:val="24"/>
          <w:szCs w:val="24"/>
        </w:rPr>
        <w:t>treinta y dos</w:t>
      </w:r>
      <w:r w:rsidRPr="000919AC">
        <w:rPr>
          <w:rFonts w:asciiTheme="majorHAnsi" w:eastAsia="Arial" w:hAnsiTheme="majorHAnsi" w:cs="Arial"/>
          <w:sz w:val="24"/>
          <w:szCs w:val="24"/>
        </w:rPr>
        <w:t xml:space="preserve"> minutos, del día </w:t>
      </w:r>
      <w:r w:rsidR="00D43BD4" w:rsidRPr="000919AC">
        <w:rPr>
          <w:rFonts w:asciiTheme="majorHAnsi" w:eastAsia="Arial" w:hAnsiTheme="majorHAnsi" w:cs="Arial"/>
          <w:sz w:val="24"/>
          <w:szCs w:val="24"/>
        </w:rPr>
        <w:t>ocho</w:t>
      </w:r>
      <w:r w:rsidRPr="000919AC">
        <w:rPr>
          <w:rFonts w:asciiTheme="majorHAnsi" w:eastAsia="Arial" w:hAnsiTheme="majorHAnsi" w:cs="Arial"/>
          <w:sz w:val="24"/>
          <w:szCs w:val="24"/>
        </w:rPr>
        <w:t xml:space="preserve"> de </w:t>
      </w:r>
      <w:r w:rsidR="00D43BD4" w:rsidRPr="000919AC">
        <w:rPr>
          <w:rFonts w:asciiTheme="majorHAnsi" w:eastAsia="Arial" w:hAnsiTheme="majorHAnsi" w:cs="Arial"/>
          <w:sz w:val="24"/>
          <w:szCs w:val="24"/>
        </w:rPr>
        <w:t>mayo</w:t>
      </w:r>
      <w:r w:rsidRPr="000919AC">
        <w:rPr>
          <w:rFonts w:asciiTheme="majorHAnsi" w:eastAsia="Arial" w:hAnsiTheme="majorHAnsi" w:cs="Arial"/>
          <w:sz w:val="24"/>
          <w:szCs w:val="24"/>
        </w:rPr>
        <w:t xml:space="preserve"> del año dos mil diecisiete,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0919AC" w:rsidRDefault="00367B19" w:rsidP="000919AC">
      <w:pPr>
        <w:spacing w:after="0" w:line="240" w:lineRule="auto"/>
        <w:jc w:val="center"/>
        <w:rPr>
          <w:rFonts w:asciiTheme="majorHAnsi" w:hAnsiTheme="majorHAnsi"/>
          <w:b/>
          <w:sz w:val="24"/>
          <w:szCs w:val="24"/>
        </w:rPr>
      </w:pPr>
    </w:p>
    <w:p w:rsidR="00866BBD" w:rsidRPr="000919AC" w:rsidRDefault="00866BBD"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t>ANTECEDENTES</w:t>
      </w:r>
    </w:p>
    <w:p w:rsidR="00866BBD" w:rsidRPr="000919AC" w:rsidRDefault="00866BBD" w:rsidP="000919AC">
      <w:pPr>
        <w:spacing w:after="0" w:line="240" w:lineRule="auto"/>
        <w:jc w:val="center"/>
        <w:rPr>
          <w:rFonts w:asciiTheme="majorHAnsi" w:hAnsiTheme="majorHAnsi"/>
          <w:b/>
          <w:sz w:val="24"/>
          <w:szCs w:val="24"/>
        </w:rPr>
      </w:pPr>
    </w:p>
    <w:p w:rsidR="00574205" w:rsidRPr="000919AC" w:rsidRDefault="00866BBD" w:rsidP="000919AC">
      <w:pPr>
        <w:spacing w:after="0" w:line="240" w:lineRule="auto"/>
        <w:jc w:val="both"/>
        <w:rPr>
          <w:rFonts w:asciiTheme="majorHAnsi" w:hAnsiTheme="majorHAnsi"/>
          <w:i/>
          <w:sz w:val="24"/>
          <w:szCs w:val="24"/>
        </w:rPr>
      </w:pPr>
      <w:r w:rsidRPr="000919AC">
        <w:rPr>
          <w:rFonts w:asciiTheme="majorHAnsi" w:hAnsiTheme="majorHAnsi"/>
          <w:b/>
          <w:sz w:val="24"/>
          <w:szCs w:val="24"/>
        </w:rPr>
        <w:t>PRIMERO.-</w:t>
      </w:r>
      <w:r w:rsidRPr="000919AC">
        <w:rPr>
          <w:rFonts w:asciiTheme="majorHAnsi" w:hAnsiTheme="majorHAnsi"/>
          <w:sz w:val="24"/>
          <w:szCs w:val="24"/>
        </w:rPr>
        <w:t xml:space="preserve"> </w:t>
      </w:r>
      <w:r w:rsidRPr="000919AC">
        <w:rPr>
          <w:rFonts w:asciiTheme="majorHAnsi" w:eastAsia="Arial" w:hAnsiTheme="majorHAnsi" w:cs="Arial"/>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574205" w:rsidRPr="000919AC" w:rsidRDefault="00574205" w:rsidP="000919AC">
      <w:pPr>
        <w:spacing w:after="0" w:line="240" w:lineRule="auto"/>
        <w:jc w:val="both"/>
        <w:rPr>
          <w:rFonts w:asciiTheme="majorHAnsi" w:hAnsiTheme="majorHAnsi"/>
          <w:sz w:val="24"/>
          <w:szCs w:val="24"/>
        </w:rPr>
      </w:pPr>
    </w:p>
    <w:p w:rsidR="007B1E58"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SEGUNDO.- </w:t>
      </w:r>
      <w:r w:rsidRPr="000919AC">
        <w:rPr>
          <w:rFonts w:asciiTheme="majorHAnsi" w:eastAsia="Arial" w:hAnsiTheme="majorHAnsi" w:cs="Arial"/>
          <w:sz w:val="24"/>
          <w:szCs w:val="24"/>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0919AC">
        <w:rPr>
          <w:rFonts w:asciiTheme="majorHAnsi" w:eastAsia="Arial" w:hAnsiTheme="majorHAnsi" w:cs="Arial"/>
          <w:sz w:val="24"/>
          <w:szCs w:val="24"/>
        </w:rPr>
        <w:t>el último párrafo del</w:t>
      </w:r>
      <w:r w:rsidRPr="000919AC">
        <w:rPr>
          <w:rFonts w:asciiTheme="majorHAnsi" w:eastAsia="Arial" w:hAnsiTheme="majorHAnsi" w:cs="Arial"/>
          <w:sz w:val="24"/>
          <w:szCs w:val="24"/>
        </w:rPr>
        <w:t xml:space="preserve"> </w:t>
      </w:r>
      <w:r w:rsidR="007B1E58" w:rsidRPr="000919AC">
        <w:rPr>
          <w:rFonts w:asciiTheme="majorHAnsi" w:eastAsia="Arial" w:hAnsiTheme="majorHAnsi" w:cs="Arial"/>
          <w:sz w:val="24"/>
          <w:szCs w:val="24"/>
        </w:rPr>
        <w:t xml:space="preserve">artículo </w:t>
      </w:r>
      <w:r w:rsidR="0045325F" w:rsidRPr="000919AC">
        <w:rPr>
          <w:rFonts w:asciiTheme="majorHAnsi" w:eastAsia="Arial" w:hAnsiTheme="majorHAnsi" w:cs="Arial"/>
          <w:sz w:val="24"/>
          <w:szCs w:val="24"/>
        </w:rPr>
        <w:t>70</w:t>
      </w:r>
      <w:r w:rsidR="007B1E58" w:rsidRPr="000919AC">
        <w:rPr>
          <w:rFonts w:asciiTheme="majorHAnsi" w:eastAsia="Arial" w:hAnsiTheme="majorHAnsi" w:cs="Arial"/>
          <w:sz w:val="24"/>
          <w:szCs w:val="24"/>
        </w:rPr>
        <w:t xml:space="preserve"> dispone que:</w:t>
      </w:r>
    </w:p>
    <w:p w:rsidR="007B1E58" w:rsidRPr="000919AC" w:rsidRDefault="007B1E58" w:rsidP="000919AC">
      <w:pPr>
        <w:spacing w:after="0" w:line="240" w:lineRule="auto"/>
        <w:jc w:val="both"/>
        <w:rPr>
          <w:rFonts w:asciiTheme="majorHAnsi" w:eastAsia="Arial" w:hAnsiTheme="majorHAnsi" w:cs="Arial"/>
          <w:sz w:val="24"/>
          <w:szCs w:val="24"/>
        </w:rPr>
      </w:pPr>
    </w:p>
    <w:p w:rsidR="00866BBD" w:rsidRPr="000919AC" w:rsidRDefault="007B1E58" w:rsidP="000919AC">
      <w:pPr>
        <w:spacing w:after="0" w:line="240" w:lineRule="auto"/>
        <w:ind w:left="851" w:right="616"/>
        <w:jc w:val="both"/>
        <w:rPr>
          <w:rFonts w:asciiTheme="majorHAnsi" w:eastAsia="Arial" w:hAnsiTheme="majorHAnsi" w:cs="Arial"/>
          <w:sz w:val="24"/>
          <w:szCs w:val="24"/>
        </w:rPr>
      </w:pPr>
      <w:r w:rsidRPr="000919AC">
        <w:rPr>
          <w:rFonts w:asciiTheme="majorHAnsi" w:eastAsia="Arial" w:hAnsiTheme="majorHAnsi" w:cs="Arial"/>
          <w:sz w:val="24"/>
          <w:szCs w:val="24"/>
        </w:rPr>
        <w:t>“..</w:t>
      </w:r>
      <w:r w:rsidR="00866BBD" w:rsidRPr="000919AC">
        <w:rPr>
          <w:rFonts w:asciiTheme="majorHAnsi" w:eastAsia="Arial" w:hAnsiTheme="majorHAnsi" w:cs="Arial"/>
          <w:sz w:val="24"/>
          <w:szCs w:val="24"/>
        </w:rPr>
        <w:t>.</w:t>
      </w:r>
      <w:r w:rsidR="0045325F" w:rsidRPr="000919AC">
        <w:rPr>
          <w:rFonts w:asciiTheme="majorHAnsi" w:eastAsia="Arial" w:hAnsiTheme="majorHAnsi" w:cs="Arial"/>
          <w:sz w:val="24"/>
          <w:szCs w:val="24"/>
        </w:rPr>
        <w:t>Los sujetos obligados deberán informar a los Organismos garantes y verificar que se publiquen en la</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Plataforma Nacional, cuáles son los rubros que son aplicables a sus páginas de Internet, con el objeto de que</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éstos verifiquen y aprueben, de forma fundada y motivada, la relación de fracciones aplicables a cada sujeto</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obligado.</w:t>
      </w:r>
      <w:r w:rsidRPr="000919AC">
        <w:rPr>
          <w:rFonts w:asciiTheme="majorHAnsi" w:eastAsia="Arial" w:hAnsiTheme="majorHAnsi" w:cs="Arial"/>
          <w:sz w:val="24"/>
          <w:szCs w:val="24"/>
        </w:rPr>
        <w:t>…”</w:t>
      </w:r>
    </w:p>
    <w:p w:rsidR="00866BBD" w:rsidRPr="000919AC" w:rsidRDefault="00866BBD" w:rsidP="000919AC">
      <w:pPr>
        <w:spacing w:after="0" w:line="240" w:lineRule="auto"/>
        <w:jc w:val="both"/>
        <w:rPr>
          <w:rFonts w:asciiTheme="majorHAnsi" w:eastAsia="Arial" w:hAnsiTheme="majorHAnsi" w:cs="Arial"/>
          <w:b/>
          <w:sz w:val="24"/>
          <w:szCs w:val="24"/>
        </w:rPr>
      </w:pPr>
    </w:p>
    <w:p w:rsidR="00866BBD"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0919AC" w:rsidRDefault="00866BBD" w:rsidP="000919AC">
      <w:pPr>
        <w:spacing w:after="0" w:line="240" w:lineRule="auto"/>
        <w:jc w:val="both"/>
        <w:rPr>
          <w:rFonts w:asciiTheme="majorHAnsi" w:eastAsia="Arial" w:hAnsiTheme="majorHAnsi" w:cs="Arial"/>
          <w:b/>
          <w:sz w:val="24"/>
          <w:szCs w:val="24"/>
        </w:rPr>
      </w:pPr>
    </w:p>
    <w:p w:rsidR="00866BBD"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lastRenderedPageBreak/>
        <w:t>CUARTO.-</w:t>
      </w:r>
      <w:r w:rsidRPr="000919AC">
        <w:rPr>
          <w:rFonts w:asciiTheme="majorHAnsi" w:eastAsia="Arial" w:hAnsiTheme="majorHAnsi" w:cs="Arial"/>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AF3343" w:rsidRPr="000919AC" w:rsidRDefault="00AF3343" w:rsidP="000919AC">
      <w:pPr>
        <w:spacing w:after="0" w:line="240" w:lineRule="auto"/>
        <w:jc w:val="both"/>
        <w:rPr>
          <w:rFonts w:asciiTheme="majorHAnsi" w:eastAsia="Arial" w:hAnsiTheme="majorHAnsi" w:cs="Arial"/>
          <w:sz w:val="24"/>
          <w:szCs w:val="24"/>
        </w:rPr>
      </w:pPr>
    </w:p>
    <w:p w:rsidR="00AF3343" w:rsidRPr="000919AC" w:rsidRDefault="00AF3343"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La referida Ley estatal, indica en su artículo </w:t>
      </w:r>
      <w:r w:rsidR="00422341" w:rsidRPr="000919AC">
        <w:rPr>
          <w:rFonts w:asciiTheme="majorHAnsi" w:eastAsia="Arial" w:hAnsiTheme="majorHAnsi" w:cs="Arial"/>
          <w:sz w:val="24"/>
          <w:szCs w:val="24"/>
        </w:rPr>
        <w:t>55</w:t>
      </w:r>
      <w:r w:rsidRPr="000919AC">
        <w:rPr>
          <w:rFonts w:asciiTheme="majorHAnsi" w:eastAsia="Arial" w:hAnsiTheme="majorHAnsi" w:cs="Arial"/>
          <w:sz w:val="24"/>
          <w:szCs w:val="24"/>
        </w:rPr>
        <w:t>, que:</w:t>
      </w:r>
    </w:p>
    <w:p w:rsidR="00AF3343" w:rsidRPr="000919AC" w:rsidRDefault="00AF3343" w:rsidP="000919AC">
      <w:pPr>
        <w:spacing w:after="0" w:line="240" w:lineRule="auto"/>
        <w:jc w:val="both"/>
        <w:rPr>
          <w:rFonts w:asciiTheme="majorHAnsi" w:eastAsia="Arial" w:hAnsiTheme="majorHAnsi" w:cs="Arial"/>
          <w:sz w:val="24"/>
          <w:szCs w:val="24"/>
        </w:rPr>
      </w:pPr>
    </w:p>
    <w:p w:rsidR="00AF3343" w:rsidRPr="000919AC" w:rsidRDefault="00AF3343" w:rsidP="000919AC">
      <w:pPr>
        <w:spacing w:after="0" w:line="240" w:lineRule="auto"/>
        <w:ind w:left="851" w:right="616"/>
        <w:jc w:val="both"/>
        <w:rPr>
          <w:rFonts w:asciiTheme="majorHAnsi" w:eastAsia="Arial" w:hAnsiTheme="majorHAnsi" w:cs="Arial"/>
          <w:sz w:val="24"/>
          <w:szCs w:val="24"/>
        </w:rPr>
      </w:pPr>
      <w:r w:rsidRPr="000919AC">
        <w:rPr>
          <w:rFonts w:asciiTheme="majorHAnsi" w:eastAsia="Arial" w:hAnsiTheme="majorHAnsi" w:cs="Arial"/>
          <w:sz w:val="24"/>
          <w:szCs w:val="24"/>
        </w:rPr>
        <w:t>“…</w:t>
      </w:r>
      <w:r w:rsidR="00DC4CF8" w:rsidRPr="000919AC">
        <w:rPr>
          <w:rFonts w:asciiTheme="majorHAnsi" w:eastAsia="Arial" w:hAnsiTheme="majorHAnsi" w:cs="Arial"/>
          <w:sz w:val="24"/>
          <w:szCs w:val="24"/>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0919AC">
        <w:rPr>
          <w:rFonts w:asciiTheme="majorHAnsi" w:eastAsia="Arial" w:hAnsiTheme="majorHAnsi" w:cs="Arial"/>
          <w:sz w:val="24"/>
          <w:szCs w:val="24"/>
        </w:rPr>
        <w:t>…”</w:t>
      </w:r>
    </w:p>
    <w:p w:rsidR="00AF3343" w:rsidRPr="000919AC" w:rsidRDefault="00AF3343" w:rsidP="000919AC">
      <w:pPr>
        <w:spacing w:after="0" w:line="240" w:lineRule="auto"/>
        <w:jc w:val="both"/>
        <w:rPr>
          <w:rFonts w:asciiTheme="majorHAnsi" w:eastAsia="Arial" w:hAnsiTheme="majorHAnsi" w:cs="Arial"/>
          <w:b/>
          <w:sz w:val="24"/>
          <w:szCs w:val="24"/>
        </w:rPr>
      </w:pPr>
    </w:p>
    <w:p w:rsidR="00DC4CF8" w:rsidRPr="000919AC" w:rsidRDefault="00582AA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QUINTO.- </w:t>
      </w:r>
      <w:r w:rsidR="00DC4CF8" w:rsidRPr="000919AC">
        <w:rPr>
          <w:rFonts w:asciiTheme="majorHAnsi" w:eastAsia="Arial" w:hAnsiTheme="majorHAnsi" w:cs="Arial"/>
          <w:sz w:val="24"/>
          <w:szCs w:val="24"/>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0919AC">
        <w:rPr>
          <w:rFonts w:asciiTheme="majorHAnsi" w:eastAsia="Arial" w:hAnsiTheme="majorHAnsi" w:cs="Arial"/>
          <w:sz w:val="24"/>
          <w:szCs w:val="24"/>
        </w:rPr>
        <w:t>t</w:t>
      </w:r>
      <w:r w:rsidR="00DC4CF8" w:rsidRPr="000919AC">
        <w:rPr>
          <w:rFonts w:asciiTheme="majorHAnsi" w:eastAsia="Arial" w:hAnsiTheme="majorHAnsi" w:cs="Arial"/>
          <w:sz w:val="24"/>
          <w:szCs w:val="24"/>
        </w:rPr>
        <w:t>écnicos</w:t>
      </w:r>
      <w:r w:rsidR="00163E09" w:rsidRPr="000919AC">
        <w:rPr>
          <w:rFonts w:asciiTheme="majorHAnsi" w:eastAsia="Arial" w:hAnsiTheme="majorHAnsi" w:cs="Arial"/>
          <w:sz w:val="24"/>
          <w:szCs w:val="24"/>
        </w:rPr>
        <w:t xml:space="preserve"> generales</w:t>
      </w:r>
      <w:r w:rsidR="00DC4CF8" w:rsidRPr="000919AC">
        <w:rPr>
          <w:rFonts w:asciiTheme="majorHAnsi" w:eastAsia="Arial" w:hAnsiTheme="majorHAnsi" w:cs="Arial"/>
          <w:sz w:val="24"/>
          <w:szCs w:val="24"/>
        </w:rPr>
        <w:t xml:space="preserve">), publicados en el Diario Oficial de la Federación el </w:t>
      </w:r>
      <w:r w:rsidR="005A684A" w:rsidRPr="000919AC">
        <w:rPr>
          <w:rFonts w:asciiTheme="majorHAnsi" w:eastAsia="Arial" w:hAnsiTheme="majorHAnsi" w:cs="Arial"/>
          <w:sz w:val="24"/>
          <w:szCs w:val="24"/>
        </w:rPr>
        <w:t>4</w:t>
      </w:r>
      <w:r w:rsidR="00DC4CF8" w:rsidRPr="000919AC">
        <w:rPr>
          <w:rFonts w:asciiTheme="majorHAnsi" w:eastAsia="Arial" w:hAnsiTheme="majorHAnsi" w:cs="Arial"/>
          <w:sz w:val="24"/>
          <w:szCs w:val="24"/>
        </w:rPr>
        <w:t xml:space="preserve"> de mayo de </w:t>
      </w:r>
      <w:r w:rsidR="005A684A" w:rsidRPr="000919AC">
        <w:rPr>
          <w:rFonts w:asciiTheme="majorHAnsi" w:eastAsia="Arial" w:hAnsiTheme="majorHAnsi" w:cs="Arial"/>
          <w:sz w:val="24"/>
          <w:szCs w:val="24"/>
        </w:rPr>
        <w:t>2016</w:t>
      </w:r>
      <w:r w:rsidR="00DC4CF8" w:rsidRPr="000919AC">
        <w:rPr>
          <w:rFonts w:asciiTheme="majorHAnsi" w:eastAsia="Arial" w:hAnsiTheme="majorHAnsi" w:cs="Arial"/>
          <w:sz w:val="24"/>
          <w:szCs w:val="24"/>
        </w:rPr>
        <w:t>.</w:t>
      </w:r>
    </w:p>
    <w:p w:rsidR="005A684A" w:rsidRPr="000919AC" w:rsidRDefault="005A684A" w:rsidP="000919AC">
      <w:pPr>
        <w:spacing w:after="0" w:line="240" w:lineRule="auto"/>
        <w:jc w:val="both"/>
        <w:rPr>
          <w:rFonts w:asciiTheme="majorHAnsi" w:eastAsia="Arial" w:hAnsiTheme="majorHAnsi" w:cs="Arial"/>
          <w:sz w:val="24"/>
          <w:szCs w:val="24"/>
        </w:rPr>
      </w:pPr>
    </w:p>
    <w:p w:rsidR="00582AA2" w:rsidRPr="000919AC" w:rsidRDefault="00582AA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En los referidos Lineamientos, se contemplan las especificaciones necesarias para la homologación en la presentación y publicación de la información prescrita en el Título Quinto de la Ley </w:t>
      </w:r>
      <w:r w:rsidR="00163E09" w:rsidRPr="000919AC">
        <w:rPr>
          <w:rFonts w:asciiTheme="majorHAnsi" w:eastAsia="Arial" w:hAnsiTheme="majorHAnsi" w:cs="Arial"/>
          <w:sz w:val="24"/>
          <w:szCs w:val="24"/>
        </w:rPr>
        <w:t>g</w:t>
      </w:r>
      <w:r w:rsidRPr="000919AC">
        <w:rPr>
          <w:rFonts w:asciiTheme="majorHAnsi" w:eastAsia="Arial" w:hAnsiTheme="majorHAnsi" w:cs="Arial"/>
          <w:sz w:val="24"/>
          <w:szCs w:val="24"/>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5A684A" w:rsidRPr="000919AC" w:rsidRDefault="005A684A" w:rsidP="000919AC">
      <w:pPr>
        <w:spacing w:after="0" w:line="240" w:lineRule="auto"/>
        <w:jc w:val="both"/>
        <w:rPr>
          <w:rFonts w:asciiTheme="majorHAnsi" w:eastAsia="Arial" w:hAnsiTheme="majorHAnsi" w:cs="Arial"/>
          <w:b/>
          <w:sz w:val="24"/>
          <w:szCs w:val="24"/>
        </w:rPr>
      </w:pPr>
    </w:p>
    <w:p w:rsidR="00A16D01" w:rsidRPr="000919AC" w:rsidRDefault="00A16D01"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t>CONSIDERANDOS</w:t>
      </w:r>
    </w:p>
    <w:p w:rsidR="00807346" w:rsidRPr="000919AC" w:rsidRDefault="00807346" w:rsidP="000919AC">
      <w:pPr>
        <w:spacing w:after="0" w:line="240" w:lineRule="auto"/>
        <w:jc w:val="both"/>
        <w:rPr>
          <w:rFonts w:asciiTheme="majorHAnsi" w:eastAsia="Arial" w:hAnsiTheme="majorHAnsi" w:cs="Arial"/>
          <w:b/>
          <w:sz w:val="24"/>
          <w:szCs w:val="24"/>
        </w:rPr>
      </w:pPr>
    </w:p>
    <w:p w:rsidR="00807346" w:rsidRPr="000919AC" w:rsidRDefault="00A16D0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PRIMERO.- </w:t>
      </w:r>
      <w:r w:rsidR="000317AB" w:rsidRPr="000919AC">
        <w:rPr>
          <w:rFonts w:asciiTheme="majorHAnsi" w:eastAsia="Arial" w:hAnsiTheme="majorHAnsi" w:cs="Arial"/>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w:t>
      </w:r>
      <w:r w:rsidR="000317AB" w:rsidRPr="000919AC">
        <w:rPr>
          <w:rFonts w:asciiTheme="majorHAnsi" w:eastAsia="Arial" w:hAnsiTheme="majorHAnsi" w:cs="Arial"/>
          <w:sz w:val="24"/>
          <w:szCs w:val="24"/>
        </w:rPr>
        <w:lastRenderedPageBreak/>
        <w:t xml:space="preserve">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0919AC">
        <w:rPr>
          <w:rFonts w:asciiTheme="majorHAnsi" w:eastAsia="Arial" w:hAnsiTheme="majorHAnsi" w:cs="Arial"/>
          <w:sz w:val="24"/>
          <w:szCs w:val="24"/>
        </w:rPr>
        <w:t>la</w:t>
      </w:r>
      <w:r w:rsidR="000317AB" w:rsidRPr="000919AC">
        <w:rPr>
          <w:rFonts w:asciiTheme="majorHAnsi" w:eastAsia="Arial" w:hAnsiTheme="majorHAnsi" w:cs="Arial"/>
          <w:sz w:val="24"/>
          <w:szCs w:val="24"/>
        </w:rPr>
        <w:t xml:space="preserve"> </w:t>
      </w:r>
      <w:r w:rsidR="002A74C9" w:rsidRPr="000919AC">
        <w:rPr>
          <w:rFonts w:asciiTheme="majorHAnsi" w:eastAsia="Arial" w:hAnsiTheme="majorHAnsi" w:cs="Arial"/>
          <w:sz w:val="24"/>
          <w:szCs w:val="24"/>
        </w:rPr>
        <w:t>L</w:t>
      </w:r>
      <w:r w:rsidR="000317AB" w:rsidRPr="000919AC">
        <w:rPr>
          <w:rFonts w:asciiTheme="majorHAnsi" w:eastAsia="Arial" w:hAnsiTheme="majorHAnsi" w:cs="Arial"/>
          <w:sz w:val="24"/>
          <w:szCs w:val="24"/>
        </w:rPr>
        <w:t>ey</w:t>
      </w:r>
      <w:r w:rsidR="002A74C9" w:rsidRPr="000919AC">
        <w:rPr>
          <w:rFonts w:asciiTheme="majorHAnsi" w:eastAsia="Arial" w:hAnsiTheme="majorHAnsi" w:cs="Arial"/>
          <w:sz w:val="24"/>
          <w:szCs w:val="24"/>
        </w:rPr>
        <w:t xml:space="preserve"> estatal de la materia</w:t>
      </w:r>
      <w:r w:rsidR="000317AB" w:rsidRPr="000919AC">
        <w:rPr>
          <w:rFonts w:asciiTheme="majorHAnsi" w:eastAsia="Arial" w:hAnsiTheme="majorHAnsi" w:cs="Arial"/>
          <w:sz w:val="24"/>
          <w:szCs w:val="24"/>
        </w:rPr>
        <w:t xml:space="preserve"> y demás disposiciones normativas aplicables.</w:t>
      </w:r>
    </w:p>
    <w:p w:rsidR="006136C0" w:rsidRPr="000919AC" w:rsidRDefault="006136C0" w:rsidP="000919AC">
      <w:pPr>
        <w:spacing w:after="0" w:line="240" w:lineRule="auto"/>
        <w:jc w:val="both"/>
        <w:rPr>
          <w:rFonts w:asciiTheme="majorHAnsi" w:eastAsia="Arial" w:hAnsiTheme="majorHAnsi" w:cs="Arial"/>
          <w:sz w:val="24"/>
          <w:szCs w:val="24"/>
        </w:rPr>
      </w:pPr>
    </w:p>
    <w:p w:rsidR="009160F1" w:rsidRPr="000919AC" w:rsidRDefault="00D9444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SEGUNDO.</w:t>
      </w:r>
      <w:r w:rsidRPr="000919AC">
        <w:rPr>
          <w:rFonts w:asciiTheme="majorHAnsi" w:eastAsia="Arial" w:hAnsiTheme="majorHAnsi" w:cs="Arial"/>
          <w:sz w:val="24"/>
          <w:szCs w:val="24"/>
        </w:rPr>
        <w:t>-</w:t>
      </w:r>
      <w:r w:rsidR="000317AB" w:rsidRPr="000919AC">
        <w:rPr>
          <w:rFonts w:asciiTheme="majorHAnsi" w:eastAsia="Arial" w:hAnsiTheme="majorHAnsi" w:cs="Arial"/>
          <w:sz w:val="24"/>
          <w:szCs w:val="24"/>
        </w:rPr>
        <w:t xml:space="preserve"> </w:t>
      </w:r>
      <w:r w:rsidR="009160F1" w:rsidRPr="000919AC">
        <w:rPr>
          <w:rFonts w:asciiTheme="majorHAnsi" w:eastAsia="Arial" w:hAnsiTheme="majorHAnsi" w:cs="Arial"/>
          <w:sz w:val="24"/>
          <w:szCs w:val="24"/>
        </w:rPr>
        <w:t xml:space="preserve">De conformidad con lo señalado en el último párrafo del artículo 70 de la Ley general de transparencia y el numeral noveno, fracción I, de los Lineamientos </w:t>
      </w:r>
      <w:r w:rsidR="00163E09" w:rsidRPr="000919AC">
        <w:rPr>
          <w:rFonts w:asciiTheme="majorHAnsi" w:eastAsia="Arial" w:hAnsiTheme="majorHAnsi" w:cs="Arial"/>
          <w:sz w:val="24"/>
          <w:szCs w:val="24"/>
        </w:rPr>
        <w:t>t</w:t>
      </w:r>
      <w:r w:rsidR="009160F1" w:rsidRPr="000919AC">
        <w:rPr>
          <w:rFonts w:asciiTheme="majorHAnsi" w:eastAsia="Arial" w:hAnsiTheme="majorHAnsi" w:cs="Arial"/>
          <w:sz w:val="24"/>
          <w:szCs w:val="24"/>
        </w:rPr>
        <w:t>écnicos</w:t>
      </w:r>
      <w:r w:rsidR="00163E09" w:rsidRPr="000919AC">
        <w:rPr>
          <w:rFonts w:asciiTheme="majorHAnsi" w:eastAsia="Arial" w:hAnsiTheme="majorHAnsi" w:cs="Arial"/>
          <w:sz w:val="24"/>
          <w:szCs w:val="24"/>
        </w:rPr>
        <w:t xml:space="preserve"> generales</w:t>
      </w:r>
      <w:r w:rsidR="009160F1" w:rsidRPr="000919AC">
        <w:rPr>
          <w:rFonts w:asciiTheme="majorHAnsi" w:eastAsia="Arial" w:hAnsiTheme="majorHAnsi" w:cs="Arial"/>
          <w:sz w:val="24"/>
          <w:szCs w:val="24"/>
        </w:rPr>
        <w:t xml:space="preserve">, los sujetos obligados del </w:t>
      </w:r>
      <w:r w:rsidR="00085008" w:rsidRPr="000919AC">
        <w:rPr>
          <w:rFonts w:asciiTheme="majorHAnsi" w:eastAsia="Arial" w:hAnsiTheme="majorHAnsi" w:cs="Arial"/>
          <w:sz w:val="24"/>
          <w:szCs w:val="24"/>
        </w:rPr>
        <w:t>estado de Yucatán</w:t>
      </w:r>
      <w:r w:rsidR="009160F1" w:rsidRPr="000919AC">
        <w:rPr>
          <w:rFonts w:asciiTheme="majorHAnsi" w:eastAsia="Arial" w:hAnsiTheme="majorHAnsi" w:cs="Arial"/>
          <w:sz w:val="24"/>
          <w:szCs w:val="24"/>
        </w:rPr>
        <w:t xml:space="preserve"> deben remitir a este Instituto la relación de fracciones que les aplican, con el objeto de que éste verifique y apruebe, de forma fundada y motivada, las obligaciones de transparencia comunes que estarán a su cargo, las cuales se integrarán en la "Tabla de Aplicabilidad para el cumplimiento de las Obligaciones de Transparencia".</w:t>
      </w:r>
    </w:p>
    <w:p w:rsidR="00085008" w:rsidRPr="000919AC" w:rsidRDefault="00085008" w:rsidP="000919AC">
      <w:pPr>
        <w:spacing w:after="0" w:line="240" w:lineRule="auto"/>
        <w:jc w:val="both"/>
        <w:rPr>
          <w:rFonts w:asciiTheme="majorHAnsi" w:eastAsia="Arial" w:hAnsiTheme="majorHAnsi" w:cs="Arial"/>
          <w:sz w:val="24"/>
          <w:szCs w:val="24"/>
        </w:rPr>
      </w:pPr>
    </w:p>
    <w:p w:rsidR="00085008" w:rsidRPr="000919AC" w:rsidRDefault="00085008"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Con base en lo anterior, los sujetos obligados debieron informar la relación de fracciones que les aplican y, en su caso, de forma fundamentada y motivada, las que no le aplican. 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p>
    <w:p w:rsidR="00085008" w:rsidRPr="000919AC" w:rsidRDefault="00085008" w:rsidP="000919AC">
      <w:pPr>
        <w:spacing w:after="0" w:line="240" w:lineRule="auto"/>
        <w:jc w:val="both"/>
        <w:rPr>
          <w:rFonts w:asciiTheme="majorHAnsi" w:eastAsia="Arial" w:hAnsiTheme="majorHAnsi" w:cs="Arial"/>
          <w:sz w:val="24"/>
          <w:szCs w:val="24"/>
        </w:rPr>
      </w:pPr>
    </w:p>
    <w:p w:rsidR="00085008" w:rsidRPr="000919AC" w:rsidRDefault="00085008"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 xml:space="preserve">Además de lo señalado </w:t>
      </w:r>
      <w:r w:rsidR="00300372" w:rsidRPr="000919AC">
        <w:rPr>
          <w:rFonts w:asciiTheme="majorHAnsi" w:eastAsia="Arial" w:hAnsiTheme="majorHAnsi" w:cs="Arial"/>
          <w:sz w:val="24"/>
          <w:szCs w:val="24"/>
        </w:rPr>
        <w:t>en el considerando que antecede;</w:t>
      </w:r>
      <w:r w:rsidRPr="000919AC">
        <w:rPr>
          <w:rFonts w:asciiTheme="majorHAnsi" w:eastAsia="Arial" w:hAnsiTheme="majorHAnsi" w:cs="Arial"/>
          <w:sz w:val="24"/>
          <w:szCs w:val="24"/>
        </w:rPr>
        <w:t xml:space="preserve"> </w:t>
      </w:r>
      <w:r w:rsidR="00300372" w:rsidRPr="000919AC">
        <w:rPr>
          <w:rFonts w:asciiTheme="majorHAnsi" w:eastAsia="Arial" w:hAnsiTheme="majorHAnsi" w:cs="Arial"/>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0919AC" w:rsidRDefault="00300372" w:rsidP="000919AC">
      <w:pPr>
        <w:spacing w:after="0" w:line="240" w:lineRule="auto"/>
        <w:jc w:val="both"/>
        <w:rPr>
          <w:rFonts w:asciiTheme="majorHAnsi" w:eastAsia="Arial" w:hAnsiTheme="majorHAnsi" w:cs="Arial"/>
          <w:sz w:val="24"/>
          <w:szCs w:val="24"/>
        </w:rPr>
      </w:pPr>
    </w:p>
    <w:p w:rsidR="00300372" w:rsidRPr="000919AC" w:rsidRDefault="00620069"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CUARTO.-</w:t>
      </w:r>
      <w:r w:rsidR="00300372" w:rsidRPr="000919AC">
        <w:rPr>
          <w:rFonts w:asciiTheme="majorHAnsi" w:eastAsia="Arial" w:hAnsiTheme="majorHAnsi" w:cs="Arial"/>
          <w:sz w:val="24"/>
          <w:szCs w:val="24"/>
        </w:rPr>
        <w:t xml:space="preserve"> En cumplimiento de lo señalado en los considerandos segundo y tercero del presente, </w:t>
      </w:r>
      <w:r w:rsidR="0099788B" w:rsidRPr="000919AC">
        <w:rPr>
          <w:rFonts w:asciiTheme="majorHAnsi" w:eastAsia="Arial" w:hAnsiTheme="majorHAnsi" w:cs="Arial"/>
          <w:sz w:val="24"/>
          <w:szCs w:val="24"/>
        </w:rPr>
        <w:t xml:space="preserve">el Despacho del Gobernador, las dependencias y las entidades paraestatales del Poder Ejecutivo; </w:t>
      </w:r>
      <w:r w:rsidRPr="000919AC">
        <w:rPr>
          <w:rFonts w:asciiTheme="majorHAnsi" w:eastAsia="Arial" w:hAnsiTheme="majorHAnsi" w:cs="Arial"/>
          <w:sz w:val="24"/>
          <w:szCs w:val="24"/>
        </w:rPr>
        <w:t>los ayuntamien</w:t>
      </w:r>
      <w:r w:rsidR="004F75B6" w:rsidRPr="000919AC">
        <w:rPr>
          <w:rFonts w:asciiTheme="majorHAnsi" w:eastAsia="Arial" w:hAnsiTheme="majorHAnsi" w:cs="Arial"/>
          <w:sz w:val="24"/>
          <w:szCs w:val="24"/>
        </w:rPr>
        <w:t>tos, organismos</w:t>
      </w:r>
      <w:r w:rsidRPr="000919AC">
        <w:rPr>
          <w:rFonts w:asciiTheme="majorHAnsi" w:eastAsia="Arial" w:hAnsiTheme="majorHAnsi" w:cs="Arial"/>
          <w:sz w:val="24"/>
          <w:szCs w:val="24"/>
        </w:rPr>
        <w:t xml:space="preserve"> municipales y partidos políticos</w:t>
      </w:r>
      <w:r w:rsidR="0028142D" w:rsidRPr="000919AC">
        <w:rPr>
          <w:rFonts w:asciiTheme="majorHAnsi" w:eastAsia="Arial" w:hAnsiTheme="majorHAnsi" w:cs="Arial"/>
          <w:sz w:val="24"/>
          <w:szCs w:val="24"/>
        </w:rPr>
        <w:t xml:space="preserve"> del estado de Yucatán</w:t>
      </w:r>
      <w:r w:rsidRPr="000919AC">
        <w:rPr>
          <w:rFonts w:asciiTheme="majorHAnsi" w:eastAsia="Arial" w:hAnsiTheme="majorHAnsi" w:cs="Arial"/>
          <w:sz w:val="24"/>
          <w:szCs w:val="24"/>
        </w:rPr>
        <w:t>, remitieron sus tablas de aplicabilidad de obligaciones</w:t>
      </w:r>
      <w:r w:rsidR="001F4541" w:rsidRPr="000919AC">
        <w:rPr>
          <w:rFonts w:asciiTheme="majorHAnsi" w:eastAsia="Arial" w:hAnsiTheme="majorHAnsi" w:cs="Arial"/>
          <w:sz w:val="24"/>
          <w:szCs w:val="24"/>
        </w:rPr>
        <w:t xml:space="preserve"> de transparencia comunes</w:t>
      </w:r>
      <w:r w:rsidR="0028142D" w:rsidRPr="000919AC">
        <w:rPr>
          <w:rFonts w:asciiTheme="majorHAnsi" w:eastAsia="Arial" w:hAnsiTheme="majorHAnsi" w:cs="Arial"/>
          <w:sz w:val="24"/>
          <w:szCs w:val="24"/>
        </w:rPr>
        <w:t>,</w:t>
      </w:r>
      <w:r w:rsidRPr="000919AC">
        <w:rPr>
          <w:rFonts w:asciiTheme="majorHAnsi" w:eastAsia="Arial" w:hAnsiTheme="majorHAnsi" w:cs="Arial"/>
          <w:sz w:val="24"/>
          <w:szCs w:val="24"/>
        </w:rPr>
        <w:t xml:space="preserve"> </w:t>
      </w:r>
      <w:r w:rsidR="001F4541" w:rsidRPr="000919AC">
        <w:rPr>
          <w:rFonts w:asciiTheme="majorHAnsi" w:eastAsia="Arial" w:hAnsiTheme="majorHAnsi" w:cs="Arial"/>
          <w:sz w:val="24"/>
          <w:szCs w:val="24"/>
        </w:rPr>
        <w:t>las cuales se analizaron y estudiaron, considerando la normatividad aplicable y naturaleza jurídica de cada sujeto obligado, de modo que pudiera determinarse las obligaciones de transparencia com</w:t>
      </w:r>
      <w:r w:rsidR="005C5DD8" w:rsidRPr="000919AC">
        <w:rPr>
          <w:rFonts w:asciiTheme="majorHAnsi" w:eastAsia="Arial" w:hAnsiTheme="majorHAnsi" w:cs="Arial"/>
          <w:sz w:val="24"/>
          <w:szCs w:val="24"/>
        </w:rPr>
        <w:t xml:space="preserve">unes que éstos deben de cumplir; con motivo de lo anterior, se anexa un reporte de las tablas de </w:t>
      </w:r>
      <w:r w:rsidR="005C5DD8" w:rsidRPr="000919AC">
        <w:rPr>
          <w:rFonts w:asciiTheme="majorHAnsi" w:eastAsia="Arial" w:hAnsiTheme="majorHAnsi" w:cs="Arial"/>
          <w:sz w:val="24"/>
          <w:szCs w:val="24"/>
        </w:rPr>
        <w:lastRenderedPageBreak/>
        <w:t xml:space="preserve">aplicabilidad recibidas, indicando por cada una de ellas, </w:t>
      </w:r>
      <w:r w:rsidR="00F83B17" w:rsidRPr="000919AC">
        <w:rPr>
          <w:rFonts w:asciiTheme="majorHAnsi" w:eastAsia="Arial" w:hAnsiTheme="majorHAnsi" w:cs="Arial"/>
          <w:sz w:val="24"/>
          <w:szCs w:val="24"/>
        </w:rPr>
        <w:t xml:space="preserve">el sujeto obligado, </w:t>
      </w:r>
      <w:r w:rsidR="005C5DD8" w:rsidRPr="000919AC">
        <w:rPr>
          <w:rFonts w:asciiTheme="majorHAnsi" w:eastAsia="Arial" w:hAnsiTheme="majorHAnsi" w:cs="Arial"/>
          <w:sz w:val="24"/>
          <w:szCs w:val="24"/>
        </w:rPr>
        <w:t>la fecha de recepción, la fecha de autorización del Comité de Transparencia, en el caso de que éstas hubie</w:t>
      </w:r>
      <w:r w:rsidR="0053148D" w:rsidRPr="000919AC">
        <w:rPr>
          <w:rFonts w:asciiTheme="majorHAnsi" w:eastAsia="Arial" w:hAnsiTheme="majorHAnsi" w:cs="Arial"/>
          <w:sz w:val="24"/>
          <w:szCs w:val="24"/>
        </w:rPr>
        <w:t>s</w:t>
      </w:r>
      <w:r w:rsidR="005C5DD8" w:rsidRPr="000919AC">
        <w:rPr>
          <w:rFonts w:asciiTheme="majorHAnsi" w:eastAsia="Arial" w:hAnsiTheme="majorHAnsi" w:cs="Arial"/>
          <w:sz w:val="24"/>
          <w:szCs w:val="24"/>
        </w:rPr>
        <w:t>en sido autorizadas, el listado de las fracciones que los sujetos obligados indicaron que les aplicaba, y de igual forma las que</w:t>
      </w:r>
      <w:r w:rsidR="00E67522" w:rsidRPr="000919AC">
        <w:rPr>
          <w:rFonts w:asciiTheme="majorHAnsi" w:eastAsia="Arial" w:hAnsiTheme="majorHAnsi" w:cs="Arial"/>
          <w:sz w:val="24"/>
          <w:szCs w:val="24"/>
        </w:rPr>
        <w:t xml:space="preserve"> indicaron que no les aplicaba</w:t>
      </w:r>
      <w:r w:rsidR="0053148D" w:rsidRPr="000919AC">
        <w:rPr>
          <w:rFonts w:asciiTheme="majorHAnsi" w:eastAsia="Arial" w:hAnsiTheme="majorHAnsi" w:cs="Arial"/>
          <w:sz w:val="24"/>
          <w:szCs w:val="24"/>
        </w:rPr>
        <w:t>, y en su caso la fecha de la última modificación de las tablas de aplicabilidad</w:t>
      </w:r>
      <w:r w:rsidR="00E67522" w:rsidRPr="000919AC">
        <w:rPr>
          <w:rFonts w:asciiTheme="majorHAnsi" w:eastAsia="Arial" w:hAnsiTheme="majorHAnsi" w:cs="Arial"/>
          <w:sz w:val="24"/>
          <w:szCs w:val="24"/>
        </w:rPr>
        <w:t>.</w:t>
      </w:r>
    </w:p>
    <w:p w:rsidR="00F83B17" w:rsidRPr="000919AC" w:rsidRDefault="00F83B17" w:rsidP="000919AC">
      <w:pPr>
        <w:spacing w:after="0" w:line="240" w:lineRule="auto"/>
        <w:jc w:val="both"/>
        <w:rPr>
          <w:rFonts w:asciiTheme="majorHAnsi" w:eastAsia="Arial" w:hAnsiTheme="majorHAnsi" w:cs="Arial"/>
          <w:sz w:val="24"/>
          <w:szCs w:val="24"/>
        </w:rPr>
      </w:pPr>
    </w:p>
    <w:p w:rsidR="005E19D8" w:rsidRPr="000919AC" w:rsidRDefault="00F83B17"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Anexo 1.- </w:t>
      </w:r>
      <w:r w:rsidR="005E19D8" w:rsidRPr="000919AC">
        <w:rPr>
          <w:rFonts w:asciiTheme="majorHAnsi" w:hAnsiTheme="majorHAnsi"/>
          <w:sz w:val="24"/>
          <w:szCs w:val="24"/>
        </w:rPr>
        <w:t>Tablas de aplicabilidad de obligaciones de transparencia comunes remitidas por los sujetos obligados del Poder Ejecutivo.</w:t>
      </w:r>
    </w:p>
    <w:p w:rsidR="00E67522" w:rsidRPr="000919AC" w:rsidRDefault="005E19D8" w:rsidP="000919AC">
      <w:pPr>
        <w:spacing w:after="0" w:line="240" w:lineRule="auto"/>
        <w:jc w:val="both"/>
        <w:rPr>
          <w:rFonts w:asciiTheme="majorHAnsi" w:hAnsiTheme="majorHAnsi"/>
          <w:sz w:val="24"/>
          <w:szCs w:val="24"/>
        </w:rPr>
      </w:pPr>
      <w:r w:rsidRPr="000919AC">
        <w:rPr>
          <w:rFonts w:asciiTheme="majorHAnsi" w:eastAsia="Arial" w:hAnsiTheme="majorHAnsi" w:cs="Arial"/>
          <w:sz w:val="24"/>
          <w:szCs w:val="24"/>
        </w:rPr>
        <w:t xml:space="preserve">Anexo 2.- </w:t>
      </w:r>
      <w:r w:rsidR="00F83B17" w:rsidRPr="000919AC">
        <w:rPr>
          <w:rFonts w:asciiTheme="majorHAnsi" w:hAnsiTheme="majorHAnsi"/>
          <w:sz w:val="24"/>
          <w:szCs w:val="24"/>
        </w:rPr>
        <w:t>Tablas de aplicabilidad de obligaciones de transparencia comunes remitidas por los ayuntamientos.</w:t>
      </w:r>
    </w:p>
    <w:p w:rsidR="00F83B17" w:rsidRPr="000919AC" w:rsidRDefault="00F83B17" w:rsidP="000919AC">
      <w:pPr>
        <w:spacing w:after="0" w:line="240" w:lineRule="auto"/>
        <w:jc w:val="both"/>
        <w:rPr>
          <w:rFonts w:asciiTheme="majorHAnsi" w:hAnsiTheme="majorHAnsi"/>
          <w:sz w:val="24"/>
          <w:szCs w:val="24"/>
        </w:rPr>
      </w:pPr>
      <w:r w:rsidRPr="000919AC">
        <w:rPr>
          <w:rFonts w:asciiTheme="majorHAnsi" w:hAnsiTheme="majorHAnsi"/>
          <w:sz w:val="24"/>
          <w:szCs w:val="24"/>
        </w:rPr>
        <w:t xml:space="preserve">Anexo </w:t>
      </w:r>
      <w:r w:rsidR="005E19D8" w:rsidRPr="000919AC">
        <w:rPr>
          <w:rFonts w:asciiTheme="majorHAnsi" w:hAnsiTheme="majorHAnsi"/>
          <w:sz w:val="24"/>
          <w:szCs w:val="24"/>
        </w:rPr>
        <w:t>3</w:t>
      </w:r>
      <w:r w:rsidRPr="000919AC">
        <w:rPr>
          <w:rFonts w:asciiTheme="majorHAnsi" w:hAnsiTheme="majorHAnsi"/>
          <w:sz w:val="24"/>
          <w:szCs w:val="24"/>
        </w:rPr>
        <w:t>.- Tablas de aplicabilidad de obligaciones de transparencia comunes remitidas por los organismos municipales.</w:t>
      </w:r>
    </w:p>
    <w:p w:rsidR="00F83B17" w:rsidRPr="000919AC" w:rsidRDefault="00F83B17" w:rsidP="000919AC">
      <w:pPr>
        <w:spacing w:after="0" w:line="240" w:lineRule="auto"/>
        <w:jc w:val="both"/>
        <w:rPr>
          <w:rFonts w:asciiTheme="majorHAnsi" w:hAnsiTheme="majorHAnsi"/>
          <w:sz w:val="24"/>
          <w:szCs w:val="24"/>
        </w:rPr>
      </w:pPr>
      <w:r w:rsidRPr="000919AC">
        <w:rPr>
          <w:rFonts w:asciiTheme="majorHAnsi" w:hAnsiTheme="majorHAnsi"/>
          <w:sz w:val="24"/>
          <w:szCs w:val="24"/>
        </w:rPr>
        <w:t xml:space="preserve">Anexo </w:t>
      </w:r>
      <w:r w:rsidR="005E19D8" w:rsidRPr="000919AC">
        <w:rPr>
          <w:rFonts w:asciiTheme="majorHAnsi" w:hAnsiTheme="majorHAnsi"/>
          <w:sz w:val="24"/>
          <w:szCs w:val="24"/>
        </w:rPr>
        <w:t>4</w:t>
      </w:r>
      <w:r w:rsidRPr="000919AC">
        <w:rPr>
          <w:rFonts w:asciiTheme="majorHAnsi" w:hAnsiTheme="majorHAnsi"/>
          <w:sz w:val="24"/>
          <w:szCs w:val="24"/>
        </w:rPr>
        <w:t>.- Tablas de aplicabilidad de obligaciones de transparencia comunes remitidas por los partidos políticos.</w:t>
      </w:r>
    </w:p>
    <w:p w:rsidR="00A6726A" w:rsidRPr="000919AC" w:rsidRDefault="00A6726A" w:rsidP="000919AC">
      <w:pPr>
        <w:spacing w:after="0" w:line="240" w:lineRule="auto"/>
        <w:jc w:val="both"/>
        <w:rPr>
          <w:rFonts w:asciiTheme="majorHAnsi" w:hAnsiTheme="majorHAnsi"/>
          <w:sz w:val="24"/>
          <w:szCs w:val="24"/>
        </w:rPr>
      </w:pPr>
    </w:p>
    <w:p w:rsidR="00A6726A" w:rsidRPr="000919AC" w:rsidRDefault="00847D11" w:rsidP="000919AC">
      <w:pPr>
        <w:spacing w:after="0" w:line="240" w:lineRule="auto"/>
        <w:jc w:val="both"/>
        <w:rPr>
          <w:rFonts w:asciiTheme="majorHAnsi" w:eastAsia="Arial" w:hAnsiTheme="majorHAnsi" w:cs="Arial"/>
          <w:sz w:val="24"/>
          <w:szCs w:val="24"/>
        </w:rPr>
      </w:pPr>
      <w:r w:rsidRPr="000919AC">
        <w:rPr>
          <w:rFonts w:asciiTheme="majorHAnsi" w:hAnsiTheme="majorHAnsi"/>
          <w:b/>
          <w:sz w:val="24"/>
          <w:szCs w:val="24"/>
        </w:rPr>
        <w:t>QUINTO</w:t>
      </w:r>
      <w:r w:rsidR="00A6726A" w:rsidRPr="000919AC">
        <w:rPr>
          <w:rFonts w:asciiTheme="majorHAnsi" w:hAnsiTheme="majorHAnsi"/>
          <w:b/>
          <w:sz w:val="24"/>
          <w:szCs w:val="24"/>
        </w:rPr>
        <w:t xml:space="preserve">.- </w:t>
      </w:r>
      <w:r w:rsidR="00A6726A" w:rsidRPr="000919AC">
        <w:rPr>
          <w:rFonts w:asciiTheme="majorHAnsi" w:hAnsiTheme="majorHAnsi"/>
          <w:sz w:val="24"/>
          <w:szCs w:val="24"/>
        </w:rPr>
        <w:t>Al momento de realizar las consideraciones para determinar que obligaciones comunes de transparencia</w:t>
      </w:r>
      <w:r w:rsidR="00A81D3E" w:rsidRPr="000919AC">
        <w:rPr>
          <w:rFonts w:asciiTheme="majorHAnsi" w:hAnsiTheme="majorHAnsi"/>
          <w:sz w:val="24"/>
          <w:szCs w:val="24"/>
        </w:rPr>
        <w:t xml:space="preserve"> referidas en el artículo 70 de la Ley general</w:t>
      </w:r>
      <w:r w:rsidR="00A6726A" w:rsidRPr="000919AC">
        <w:rPr>
          <w:rFonts w:asciiTheme="majorHAnsi" w:hAnsiTheme="majorHAnsi"/>
          <w:sz w:val="24"/>
          <w:szCs w:val="24"/>
        </w:rPr>
        <w:t xml:space="preserve"> les iban a aplicar a los sujetos obligados, y cuáles no, </w:t>
      </w:r>
      <w:r w:rsidR="00F42317" w:rsidRPr="000919AC">
        <w:rPr>
          <w:rFonts w:asciiTheme="majorHAnsi" w:hAnsiTheme="majorHAnsi"/>
          <w:sz w:val="24"/>
          <w:szCs w:val="24"/>
        </w:rPr>
        <w:t xml:space="preserve">identificamos </w:t>
      </w:r>
      <w:r w:rsidR="00B2425C" w:rsidRPr="000919AC">
        <w:rPr>
          <w:rFonts w:asciiTheme="majorHAnsi" w:hAnsiTheme="majorHAnsi"/>
          <w:sz w:val="24"/>
          <w:szCs w:val="24"/>
        </w:rPr>
        <w:t xml:space="preserve">que existen obligaciones comunes con equivalencia </w:t>
      </w:r>
      <w:r w:rsidR="002A16A1" w:rsidRPr="000919AC">
        <w:rPr>
          <w:rFonts w:asciiTheme="majorHAnsi" w:hAnsiTheme="majorHAnsi"/>
          <w:sz w:val="24"/>
          <w:szCs w:val="24"/>
        </w:rPr>
        <w:t>en alguna obligación específica</w:t>
      </w:r>
      <w:r w:rsidR="00A81D3E" w:rsidRPr="000919AC">
        <w:rPr>
          <w:rFonts w:asciiTheme="majorHAnsi" w:hAnsiTheme="majorHAnsi"/>
          <w:sz w:val="24"/>
          <w:szCs w:val="24"/>
        </w:rPr>
        <w:t>, es decir las referidas en los artículos 71 y 76 de la Ley general</w:t>
      </w:r>
      <w:r w:rsidR="002A16A1" w:rsidRPr="000919AC">
        <w:rPr>
          <w:rFonts w:asciiTheme="majorHAnsi" w:hAnsiTheme="majorHAnsi"/>
          <w:sz w:val="24"/>
          <w:szCs w:val="24"/>
        </w:rPr>
        <w:t>;</w:t>
      </w:r>
      <w:r w:rsidR="00B2425C" w:rsidRPr="000919AC">
        <w:rPr>
          <w:rFonts w:asciiTheme="majorHAnsi" w:hAnsiTheme="majorHAnsi"/>
          <w:sz w:val="24"/>
          <w:szCs w:val="24"/>
        </w:rPr>
        <w:t xml:space="preserve"> en tal razón se determina que a través de la información </w:t>
      </w:r>
      <w:r w:rsidR="004E79E1" w:rsidRPr="000919AC">
        <w:rPr>
          <w:rFonts w:asciiTheme="majorHAnsi" w:hAnsiTheme="majorHAnsi"/>
          <w:sz w:val="24"/>
          <w:szCs w:val="24"/>
        </w:rPr>
        <w:t>publicada en</w:t>
      </w:r>
      <w:r w:rsidR="00B2425C" w:rsidRPr="000919AC">
        <w:rPr>
          <w:rFonts w:asciiTheme="majorHAnsi" w:hAnsiTheme="majorHAnsi"/>
          <w:sz w:val="24"/>
          <w:szCs w:val="24"/>
        </w:rPr>
        <w:t xml:space="preserve"> la obligación específica</w:t>
      </w:r>
      <w:r w:rsidR="004E79E1" w:rsidRPr="000919AC">
        <w:rPr>
          <w:rFonts w:asciiTheme="majorHAnsi" w:hAnsiTheme="majorHAnsi"/>
          <w:sz w:val="24"/>
          <w:szCs w:val="24"/>
        </w:rPr>
        <w:t xml:space="preserve"> correspondiente</w:t>
      </w:r>
      <w:r w:rsidR="002A16A1" w:rsidRPr="000919AC">
        <w:rPr>
          <w:rFonts w:asciiTheme="majorHAnsi" w:hAnsiTheme="majorHAnsi"/>
          <w:sz w:val="24"/>
          <w:szCs w:val="24"/>
        </w:rPr>
        <w:t xml:space="preserve">, es que el sujeto obligado cumplirá con la obligación </w:t>
      </w:r>
      <w:r w:rsidR="00A81D3E" w:rsidRPr="000919AC">
        <w:rPr>
          <w:rFonts w:asciiTheme="majorHAnsi" w:hAnsiTheme="majorHAnsi"/>
          <w:sz w:val="24"/>
          <w:szCs w:val="24"/>
        </w:rPr>
        <w:t>común</w:t>
      </w:r>
      <w:r w:rsidR="002A16A1" w:rsidRPr="000919AC">
        <w:rPr>
          <w:rFonts w:asciiTheme="majorHAnsi" w:hAnsiTheme="majorHAnsi"/>
          <w:sz w:val="24"/>
          <w:szCs w:val="24"/>
        </w:rPr>
        <w:t>.</w:t>
      </w:r>
    </w:p>
    <w:p w:rsidR="001F4541" w:rsidRPr="000919AC" w:rsidRDefault="001F4541" w:rsidP="000919AC">
      <w:pPr>
        <w:spacing w:after="0" w:line="240" w:lineRule="auto"/>
        <w:jc w:val="both"/>
        <w:rPr>
          <w:rFonts w:asciiTheme="majorHAnsi" w:eastAsia="Arial" w:hAnsiTheme="majorHAnsi" w:cs="Arial"/>
          <w:sz w:val="24"/>
          <w:szCs w:val="24"/>
        </w:rPr>
      </w:pPr>
    </w:p>
    <w:p w:rsidR="002A16A1" w:rsidRPr="000919AC" w:rsidRDefault="002A16A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SEXTO</w:t>
      </w:r>
      <w:r w:rsidR="0053148D" w:rsidRPr="000919AC">
        <w:rPr>
          <w:rFonts w:asciiTheme="majorHAnsi" w:eastAsia="Arial" w:hAnsiTheme="majorHAnsi" w:cs="Arial"/>
          <w:b/>
          <w:sz w:val="24"/>
          <w:szCs w:val="24"/>
        </w:rPr>
        <w:t>.-</w:t>
      </w:r>
      <w:r w:rsidR="000215CF" w:rsidRPr="000919AC">
        <w:rPr>
          <w:rFonts w:asciiTheme="majorHAnsi" w:eastAsia="Arial" w:hAnsiTheme="majorHAnsi" w:cs="Arial"/>
          <w:sz w:val="24"/>
          <w:szCs w:val="24"/>
        </w:rPr>
        <w:t xml:space="preserve"> </w:t>
      </w:r>
      <w:r w:rsidR="00FC7186" w:rsidRPr="000919AC">
        <w:rPr>
          <w:rFonts w:asciiTheme="majorHAnsi" w:eastAsia="Arial" w:hAnsiTheme="majorHAnsi" w:cs="Arial"/>
          <w:sz w:val="24"/>
          <w:szCs w:val="24"/>
        </w:rPr>
        <w:t>Para poder determinar</w:t>
      </w:r>
      <w:r w:rsidR="005C41D3" w:rsidRPr="000919AC">
        <w:rPr>
          <w:rFonts w:asciiTheme="majorHAnsi" w:eastAsia="Arial" w:hAnsiTheme="majorHAnsi" w:cs="Arial"/>
          <w:sz w:val="24"/>
          <w:szCs w:val="24"/>
        </w:rPr>
        <w:t xml:space="preserve"> la aplicabilidad de las obligaciones de transparencia comunes del Despacho del Gobernador, las dependencias, los organismos descentralizados, </w:t>
      </w:r>
      <w:r w:rsidR="00FC7186" w:rsidRPr="000919AC">
        <w:rPr>
          <w:rFonts w:asciiTheme="majorHAnsi" w:eastAsia="Arial" w:hAnsiTheme="majorHAnsi" w:cs="Arial"/>
          <w:sz w:val="24"/>
          <w:szCs w:val="24"/>
        </w:rPr>
        <w:t>los fideicomisos con estructura análoga a un organismo descentralizado, las empresas de participación estatal mayoritaria y organismos desconcentrados</w:t>
      </w:r>
      <w:r w:rsidR="005C41D3" w:rsidRPr="000919AC">
        <w:rPr>
          <w:rFonts w:asciiTheme="majorHAnsi" w:eastAsia="Arial" w:hAnsiTheme="majorHAnsi" w:cs="Arial"/>
          <w:sz w:val="24"/>
          <w:szCs w:val="24"/>
        </w:rPr>
        <w:t>, se consideró la naturaleza jurídica de estas formas de organización administrativa</w:t>
      </w:r>
      <w:r w:rsidR="00FC7186" w:rsidRPr="000919AC">
        <w:rPr>
          <w:rFonts w:asciiTheme="majorHAnsi" w:eastAsia="Arial" w:hAnsiTheme="majorHAnsi" w:cs="Arial"/>
          <w:sz w:val="24"/>
          <w:szCs w:val="24"/>
        </w:rPr>
        <w:t>, así como de sus funciones, atribuciones y competencias; por lo que con base en lo anterior, se determinó que obligaciones de transparencia comunes se les iban a aplicar y cuáles no, de conformidad con lo siguiente:</w:t>
      </w:r>
    </w:p>
    <w:p w:rsidR="00FC7186" w:rsidRPr="000919AC" w:rsidRDefault="00FC7186" w:rsidP="000919AC">
      <w:pPr>
        <w:spacing w:after="0" w:line="240" w:lineRule="auto"/>
        <w:jc w:val="both"/>
        <w:rPr>
          <w:rFonts w:asciiTheme="majorHAnsi" w:eastAsia="Arial" w:hAnsiTheme="majorHAnsi" w:cs="Arial"/>
          <w:sz w:val="24"/>
          <w:szCs w:val="24"/>
        </w:rPr>
      </w:pPr>
    </w:p>
    <w:p w:rsidR="00833E35" w:rsidRPr="000919AC" w:rsidRDefault="00833E35" w:rsidP="000919AC">
      <w:pPr>
        <w:spacing w:after="0" w:line="240" w:lineRule="auto"/>
        <w:rPr>
          <w:rFonts w:asciiTheme="majorHAnsi" w:hAnsiTheme="majorHAnsi"/>
          <w:b/>
          <w:sz w:val="24"/>
          <w:szCs w:val="24"/>
        </w:rPr>
      </w:pPr>
    </w:p>
    <w:p w:rsidR="00833E35" w:rsidRPr="000919AC" w:rsidRDefault="00833E35" w:rsidP="000919AC">
      <w:pPr>
        <w:spacing w:after="0" w:line="240" w:lineRule="auto"/>
        <w:rPr>
          <w:rFonts w:asciiTheme="majorHAnsi" w:hAnsiTheme="majorHAnsi"/>
          <w:b/>
          <w:sz w:val="24"/>
          <w:szCs w:val="24"/>
        </w:rPr>
      </w:pPr>
      <w:r w:rsidRPr="000919AC">
        <w:rPr>
          <w:rFonts w:asciiTheme="majorHAnsi" w:hAnsiTheme="majorHAnsi"/>
          <w:b/>
          <w:sz w:val="24"/>
          <w:szCs w:val="24"/>
        </w:rPr>
        <w:t>31-01-03-041 Universidad Oriente</w:t>
      </w:r>
    </w:p>
    <w:p w:rsidR="00833E35" w:rsidRPr="000919AC" w:rsidRDefault="00833E35" w:rsidP="000919AC">
      <w:pPr>
        <w:spacing w:after="0" w:line="240" w:lineRule="auto"/>
        <w:rPr>
          <w:rFonts w:asciiTheme="majorHAnsi" w:hAnsiTheme="majorHAnsi"/>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833E35" w:rsidRPr="000919AC" w:rsidTr="00BD1C35">
        <w:trPr>
          <w:trHeight w:val="501"/>
          <w:tblHeader/>
          <w:jc w:val="center"/>
        </w:trPr>
        <w:tc>
          <w:tcPr>
            <w:tcW w:w="4916" w:type="dxa"/>
            <w:gridSpan w:val="2"/>
            <w:shd w:val="clear" w:color="auto" w:fill="8EAADB" w:themeFill="accent5" w:themeFillTint="99"/>
            <w:vAlign w:val="center"/>
            <w:hideMark/>
          </w:tcPr>
          <w:p w:rsidR="00833E35" w:rsidRPr="000919AC" w:rsidRDefault="00833E35" w:rsidP="000919AC">
            <w:pPr>
              <w:spacing w:after="0" w:line="240" w:lineRule="auto"/>
              <w:jc w:val="center"/>
              <w:rPr>
                <w:rFonts w:asciiTheme="majorHAnsi" w:eastAsia="Times New Roman" w:hAnsiTheme="majorHAnsi" w:cs="Calibri Light"/>
                <w:b/>
                <w:bCs/>
                <w:sz w:val="24"/>
                <w:szCs w:val="24"/>
                <w:lang w:eastAsia="es-MX"/>
              </w:rPr>
            </w:pPr>
            <w:r w:rsidRPr="000919AC">
              <w:rPr>
                <w:rFonts w:asciiTheme="majorHAnsi" w:eastAsia="Times New Roman" w:hAnsiTheme="majorHAnsi" w:cs="Calibri Light"/>
                <w:b/>
                <w:bCs/>
                <w:sz w:val="24"/>
                <w:szCs w:val="24"/>
                <w:lang w:eastAsia="es-MX"/>
              </w:rPr>
              <w:t>FRACCIÓN</w:t>
            </w:r>
          </w:p>
        </w:tc>
        <w:tc>
          <w:tcPr>
            <w:tcW w:w="4397" w:type="dxa"/>
            <w:shd w:val="clear" w:color="auto" w:fill="8EAADB" w:themeFill="accent5" w:themeFillTint="99"/>
            <w:vAlign w:val="center"/>
            <w:hideMark/>
          </w:tcPr>
          <w:p w:rsidR="00833E35" w:rsidRPr="000919AC" w:rsidRDefault="00833E35" w:rsidP="000919AC">
            <w:pPr>
              <w:spacing w:after="0" w:line="240" w:lineRule="auto"/>
              <w:jc w:val="center"/>
              <w:rPr>
                <w:rFonts w:asciiTheme="majorHAnsi" w:eastAsia="Times New Roman" w:hAnsiTheme="majorHAnsi" w:cs="Calibri Light"/>
                <w:b/>
                <w:bCs/>
                <w:sz w:val="24"/>
                <w:szCs w:val="24"/>
                <w:lang w:eastAsia="es-MX"/>
              </w:rPr>
            </w:pPr>
            <w:r w:rsidRPr="000919AC">
              <w:rPr>
                <w:rFonts w:asciiTheme="majorHAnsi" w:eastAsia="Times New Roman" w:hAnsiTheme="majorHAnsi" w:cs="Calibri Light"/>
                <w:b/>
                <w:bCs/>
                <w:sz w:val="24"/>
                <w:szCs w:val="24"/>
                <w:lang w:eastAsia="es-MX"/>
              </w:rPr>
              <w:t>APLICABLE / NO APLICABLE</w:t>
            </w:r>
          </w:p>
        </w:tc>
      </w:tr>
      <w:tr w:rsidR="00833E35" w:rsidRPr="000919AC" w:rsidTr="00BD1C35">
        <w:trPr>
          <w:trHeight w:val="1967"/>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Times New Roman"/>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833E35" w:rsidRPr="000919AC" w:rsidTr="00BD1C35">
        <w:trPr>
          <w:trHeight w:val="1967"/>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lo señalado en su decreto de creación y los artículos 31 fracción III y 68 del Código de la Administración Pública de Yucatán, se encuentran reguladas en su estatuto orgánico, las bases de su organización, así como las facultades y funciones que correspondan a las distintas áreas que lo integran, siendo que su estructura orgánica deberá ser aprobada por la Secretaría de Administración y Finanzas.</w:t>
            </w:r>
          </w:p>
        </w:tc>
      </w:tr>
      <w:tr w:rsidR="00833E35" w:rsidRPr="000919AC" w:rsidTr="00BD1C35">
        <w:trPr>
          <w:trHeight w:val="1234"/>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facultades de cada Área;</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su decreto de creación y el artículo 68 del Código de la Administración Pública de Yucatán, pues este ordenamiento faculta al órgano de gobierno del organismo descentralizado, el expedir el estatuto orgánico que establezca las bases de su organización, así como las facultades y funciones que correspondan a las distintas áreas que lo integran.</w:t>
            </w:r>
          </w:p>
        </w:tc>
      </w:tr>
      <w:tr w:rsidR="00833E35" w:rsidRPr="000919AC" w:rsidTr="00BD1C35">
        <w:trPr>
          <w:trHeight w:val="1479"/>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IV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metas y objetivos de las Áreas de conformidad con sus programas operativos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el último párrafo del artículo 33 y en la fracción I del artículo 34 de la Ley del Presupuesto y Contabilidad Gubernamental del Estado de Yucatán, pues estos disponen que todos los anteproyectos de presupuesto de las entidades, contendrán el Programa Operativo Anual, donde se señalará las metas e indicadores de desempeño necesarios para medir el cumplimiento de los programas.</w:t>
            </w:r>
          </w:p>
        </w:tc>
      </w:tr>
      <w:tr w:rsidR="00833E35" w:rsidRPr="000919AC" w:rsidTr="00BD1C35">
        <w:trPr>
          <w:trHeight w:val="745"/>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Los indicadores relacionados con temas de interés público o trascendencia social que conforme a sus funciones, deban </w:t>
            </w:r>
            <w:r w:rsidRPr="000919AC">
              <w:rPr>
                <w:rFonts w:asciiTheme="majorHAnsi" w:eastAsia="Times New Roman" w:hAnsiTheme="majorHAnsi" w:cs="Calibri Light"/>
                <w:sz w:val="24"/>
                <w:szCs w:val="24"/>
                <w:lang w:eastAsia="es-MX"/>
              </w:rPr>
              <w:lastRenderedPageBreak/>
              <w:t>establecer;</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b/>
                <w:bCs/>
                <w:sz w:val="24"/>
                <w:szCs w:val="24"/>
                <w:lang w:eastAsia="es-MX"/>
              </w:rPr>
            </w:pPr>
            <w:r w:rsidRPr="000919AC">
              <w:rPr>
                <w:rFonts w:asciiTheme="majorHAnsi" w:eastAsia="Times New Roman" w:hAnsiTheme="majorHAnsi" w:cs="Times New Roman"/>
                <w:color w:val="000000"/>
                <w:sz w:val="24"/>
                <w:szCs w:val="24"/>
                <w:lang w:eastAsia="es-MX"/>
              </w:rPr>
              <w:lastRenderedPageBreak/>
              <w:t xml:space="preserve">Le es aplicable. Al respecto, conviene precisar que de acuerdo con los Lineamientos técnicos generales, en esta </w:t>
            </w:r>
            <w:r w:rsidRPr="000919AC">
              <w:rPr>
                <w:rFonts w:asciiTheme="majorHAnsi" w:eastAsia="Times New Roman" w:hAnsiTheme="majorHAnsi" w:cs="Times New Roman"/>
                <w:color w:val="000000"/>
                <w:sz w:val="24"/>
                <w:szCs w:val="24"/>
                <w:lang w:eastAsia="es-MX"/>
              </w:rPr>
              <w:lastRenderedPageBreak/>
              <w:t xml:space="preserve">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 </w:t>
            </w:r>
          </w:p>
        </w:tc>
      </w:tr>
      <w:tr w:rsidR="00833E35" w:rsidRPr="000919AC" w:rsidTr="00BD1C35">
        <w:trPr>
          <w:trHeight w:val="1723"/>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VI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indicadores que permitan rendir cuenta de sus objetivos y resultados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833E35" w:rsidRPr="000919AC" w:rsidTr="00BD1C35">
        <w:trPr>
          <w:trHeight w:val="3434"/>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VII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w:t>
            </w:r>
            <w:r w:rsidRPr="000919AC">
              <w:rPr>
                <w:rFonts w:asciiTheme="majorHAnsi" w:eastAsia="Times New Roman" w:hAnsiTheme="majorHAnsi" w:cs="Calibri Light"/>
                <w:sz w:val="24"/>
                <w:szCs w:val="24"/>
                <w:lang w:eastAsia="es-MX"/>
              </w:rPr>
              <w:lastRenderedPageBreak/>
              <w:t>dirección de correo electrónico oficiales;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833E35" w:rsidRPr="000919AC" w:rsidTr="00BD1C35">
        <w:trPr>
          <w:trHeight w:val="1956"/>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VIII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el artículo 39 de la Ley del Presupuesto y Contabilidad Gubernamental del Estado de Yucatán; se establece que el órgano descentralizado como ejecutor del gasto, debe incluir en su proyecto de presupuesto de egresos el número de plazas, todas las categorías laborales de los servidores públicos, así como el desglose de las remuneraciones por salarios, prestaciones de ley y cualquier otro concepto.</w:t>
            </w:r>
          </w:p>
        </w:tc>
      </w:tr>
      <w:tr w:rsidR="00833E35" w:rsidRPr="000919AC" w:rsidTr="00BD1C35">
        <w:trPr>
          <w:trHeight w:val="1176"/>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IX</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gastos de representación y viáticos, así como el objeto e informe de comisión correspondiente;</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833E35" w:rsidRPr="000919AC" w:rsidTr="00BD1C35">
        <w:trPr>
          <w:trHeight w:val="1234"/>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el </w:t>
            </w:r>
            <w:r w:rsidRPr="000919AC">
              <w:rPr>
                <w:rFonts w:asciiTheme="majorHAnsi" w:eastAsia="Times New Roman" w:hAnsiTheme="majorHAnsi" w:cs="Calibri Light"/>
                <w:sz w:val="24"/>
                <w:szCs w:val="24"/>
                <w:lang w:eastAsia="es-MX"/>
              </w:rPr>
              <w:lastRenderedPageBreak/>
              <w:t>número de plazas, todas las categorías laborales de los servidores públicos, así como el desglose de las remuneraciones por salarios, prestaciones de ley y cualquier otro concepto.</w:t>
            </w:r>
          </w:p>
        </w:tc>
      </w:tr>
      <w:tr w:rsidR="00833E35" w:rsidRPr="000919AC" w:rsidTr="00BD1C35">
        <w:trPr>
          <w:trHeight w:val="1479"/>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833E35" w:rsidRPr="000919AC" w:rsidTr="00BD1C35">
        <w:trPr>
          <w:trHeight w:val="160"/>
          <w:jc w:val="center"/>
        </w:trPr>
        <w:tc>
          <w:tcPr>
            <w:tcW w:w="810" w:type="dxa"/>
            <w:shd w:val="clear" w:color="auto" w:fill="auto"/>
            <w:vAlign w:val="center"/>
          </w:tcPr>
          <w:p w:rsidR="00833E35" w:rsidRPr="00751EE2" w:rsidRDefault="00833E35" w:rsidP="000919AC">
            <w:pPr>
              <w:spacing w:after="0" w:line="240" w:lineRule="auto"/>
              <w:jc w:val="center"/>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XII</w:t>
            </w:r>
          </w:p>
        </w:tc>
        <w:tc>
          <w:tcPr>
            <w:tcW w:w="4106" w:type="dxa"/>
            <w:shd w:val="clear" w:color="auto" w:fill="auto"/>
            <w:vAlign w:val="center"/>
          </w:tcPr>
          <w:p w:rsidR="00833E35" w:rsidRPr="00751EE2" w:rsidRDefault="00833E35" w:rsidP="000919AC">
            <w:pPr>
              <w:spacing w:after="0" w:line="240" w:lineRule="auto"/>
              <w:jc w:val="both"/>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833E35" w:rsidRPr="00751EE2" w:rsidRDefault="00833E35" w:rsidP="000919AC">
            <w:pPr>
              <w:spacing w:after="0" w:line="240" w:lineRule="auto"/>
              <w:jc w:val="both"/>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 xml:space="preserve">No le es aplicable, por no encontrarse dentro del ámbito de sus facultades, competencias y funciones; toda vez que de conformidad con lo señalado en el artículo 46 fracción VIII del Código de la Administración Pública de Yucatán, </w:t>
            </w:r>
            <w:r w:rsidRPr="00751EE2">
              <w:rPr>
                <w:rFonts w:asciiTheme="majorHAnsi" w:eastAsia="Times New Roman" w:hAnsiTheme="majorHAnsi" w:cs="Times New Roman"/>
                <w:color w:val="000000"/>
                <w:sz w:val="24"/>
                <w:szCs w:val="24"/>
                <w:highlight w:val="yellow"/>
                <w:lang w:eastAsia="es-MX"/>
              </w:rPr>
              <w:t xml:space="preserve">le corresponde a la Secretaría de la Contraloría General del Estado (SECOGEY) en términos de la fracción IV del artículo 70 de la Ley de Responsabilidades de los Servidores Públicos del Estado de Yucatán, </w:t>
            </w:r>
            <w:r w:rsidRPr="00751EE2">
              <w:rPr>
                <w:rFonts w:asciiTheme="majorHAnsi" w:eastAsia="Times New Roman" w:hAnsiTheme="majorHAnsi" w:cs="Times New Roman"/>
                <w:color w:val="000000"/>
                <w:sz w:val="24"/>
                <w:szCs w:val="24"/>
                <w:highlight w:val="yellow"/>
                <w:lang w:eastAsia="es-MX"/>
              </w:rPr>
              <w:lastRenderedPageBreak/>
              <w:t>recibir las declaraciones patrimoniales en el ámbito de la administración pública paraestatal, de Directores Generales, Gerentes Generales, Subdirectores, Subgerentes y Servidores Públicos equivalentes de los Organismos Descentralizados.</w:t>
            </w:r>
          </w:p>
        </w:tc>
      </w:tr>
      <w:tr w:rsidR="00833E35" w:rsidRPr="000919AC" w:rsidTr="00BD1C35">
        <w:trPr>
          <w:trHeight w:val="989"/>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833E35" w:rsidRPr="000919AC" w:rsidTr="00BD1C35">
        <w:trPr>
          <w:trHeight w:val="745"/>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XIV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convocatorias a concursos para ocupar cargos públicos y los resultados de los mismos;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Le es aplicable, toda vez que de conformidad con su decreto de creación y lo dispuesto en el artículo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w:t>
            </w:r>
            <w:r w:rsidRPr="000919AC">
              <w:rPr>
                <w:rFonts w:asciiTheme="majorHAnsi" w:eastAsia="Times New Roman" w:hAnsiTheme="majorHAnsi" w:cs="Calibri Light"/>
                <w:sz w:val="24"/>
                <w:szCs w:val="24"/>
                <w:lang w:eastAsia="es-MX"/>
              </w:rPr>
              <w:lastRenderedPageBreak/>
              <w:t>emitan para ocupar cualquier tipo de cargo, puesto o equivalente.</w:t>
            </w:r>
          </w:p>
        </w:tc>
      </w:tr>
      <w:tr w:rsidR="00833E35" w:rsidRPr="000919AC" w:rsidTr="00BD1C35">
        <w:trPr>
          <w:trHeight w:val="1479"/>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La información de los programas de subsidios, estímulos y apoyos, en el que se deberá informar respecto de los programas de transferencia, de servicios, de infraestructura social y de subsidio, en los que se deberá contener lo siguiente: </w:t>
            </w:r>
          </w:p>
        </w:tc>
        <w:tc>
          <w:tcPr>
            <w:tcW w:w="4397" w:type="dxa"/>
            <w:shd w:val="clear" w:color="auto" w:fill="auto"/>
            <w:vAlign w:val="center"/>
            <w:hideMark/>
          </w:tcPr>
          <w:p w:rsidR="00833E35" w:rsidRPr="000919AC" w:rsidRDefault="007F442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Le es aplicable, de conformidad con lo señalado en los artículos 132, 133, 134, 135, 135 Bis, 136, 137 y 138 de la Ley de Presupuesto y contabilidad Gubernamental del Estado de Yucatán, en los que se establecen que el Poder Ejecutivo a través de la Secretaría de Administración y Finanzas, autorizará la ministración de las transferencias, subsidios y ayudas que con cargo a los presupuestos de las dependencias y entidades, se aprueben en el presupuesto de egresos, y que los titulares de las dependencias y entidades, en el ámbito de sus respectivas competencias, serán las responsables de vigilar que la ministración de transferencias, subsidios y ayudas, se otorguen y ejerzan de conformidad con las disposiciones legales y normativas aplicables. En razón de lo anterior se determinó que el sujeto obligado no se encuentra impedido para operar y administrar los programas señalados; considerando que una </w:t>
            </w:r>
            <w:r w:rsidRPr="000919AC">
              <w:rPr>
                <w:rFonts w:asciiTheme="majorHAnsi" w:eastAsia="Times New Roman" w:hAnsiTheme="majorHAnsi" w:cs="Calibri Light"/>
                <w:sz w:val="24"/>
                <w:szCs w:val="24"/>
                <w:lang w:eastAsia="es-MX"/>
              </w:rPr>
              <w:lastRenderedPageBreak/>
              <w:t>inaplicabilidad de conformidad con los Lineamientos técnicos generales, se refiere a la información que el sujeto obligado no generará en ningún momento, se determina que le es aplicable a esta dependencia, por lo que de no contar con programas de subsidios, estímulos y apoyos, bastará con que éste declare la inexistencia de la información a la que se refiere esta fracción, en términos de la normatividad aplicable.</w:t>
            </w:r>
          </w:p>
        </w:tc>
      </w:tr>
      <w:tr w:rsidR="00833E35" w:rsidRPr="000919AC" w:rsidTr="00BD1C35">
        <w:trPr>
          <w:trHeight w:val="2014"/>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XVI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 la entidad con sus trabajadores.</w:t>
            </w:r>
          </w:p>
        </w:tc>
      </w:tr>
      <w:tr w:rsidR="00833E35" w:rsidRPr="000919AC" w:rsidTr="00BD1C35">
        <w:trPr>
          <w:trHeight w:val="1362"/>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XVII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Le es aplicable, toda vez que la publicación de esta información, brindará certeza a los particulares de que las personas más capacitadas acorde a las áreas solicitadas, ejercerán las funciones en la administración </w:t>
            </w:r>
            <w:r w:rsidRPr="000919AC">
              <w:rPr>
                <w:rFonts w:asciiTheme="majorHAnsi" w:eastAsia="Times New Roman" w:hAnsiTheme="majorHAnsi" w:cs="Calibri Light"/>
                <w:sz w:val="24"/>
                <w:szCs w:val="24"/>
                <w:lang w:eastAsia="es-MX"/>
              </w:rPr>
              <w:lastRenderedPageBreak/>
              <w:t>pública, aunado a que permitirá conocer las infracciones y faltas que haya cometido el servidor público.</w:t>
            </w:r>
          </w:p>
        </w:tc>
      </w:tr>
      <w:tr w:rsidR="00833E35" w:rsidRPr="000919AC" w:rsidTr="00BD1C35">
        <w:trPr>
          <w:trHeight w:val="780"/>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XVIII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833E35" w:rsidRPr="000919AC" w:rsidTr="00BD1C35">
        <w:trPr>
          <w:trHeight w:val="256"/>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XIX</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servicios que ofrecen señalando los requisitos para acceder a ellos;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Le es aplicable de conformidad con su decreto de creación, toda vez que en el artículo 5 de dicho decreto, se señalan las atribuciones para otorgar los servicios en materia educativa que ofrecen, no obstante lo anterior, los Lineamientos técnicos </w:t>
            </w:r>
            <w:r w:rsidRPr="000919AC">
              <w:rPr>
                <w:rFonts w:asciiTheme="majorHAnsi" w:eastAsia="Times New Roman" w:hAnsiTheme="majorHAnsi" w:cs="Calibri Light"/>
                <w:sz w:val="24"/>
                <w:szCs w:val="24"/>
                <w:lang w:eastAsia="es-MX"/>
              </w:rPr>
              <w:lastRenderedPageBreak/>
              <w:t>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833E35" w:rsidRPr="000919AC" w:rsidTr="00BD1C35">
        <w:trPr>
          <w:trHeight w:val="501"/>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trámites, requisitos y formatos que ofrecen;</w:t>
            </w:r>
          </w:p>
        </w:tc>
        <w:tc>
          <w:tcPr>
            <w:tcW w:w="4397" w:type="dxa"/>
            <w:shd w:val="clear" w:color="auto" w:fill="auto"/>
            <w:vAlign w:val="center"/>
            <w:hideMark/>
          </w:tcPr>
          <w:p w:rsidR="00833E35" w:rsidRPr="000919AC" w:rsidRDefault="007F442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su decreto de creación, se encuentra dentro del ámbito de sus facultades, competencias y funciones.</w:t>
            </w:r>
          </w:p>
        </w:tc>
      </w:tr>
      <w:tr w:rsidR="00833E35" w:rsidRPr="000919AC" w:rsidTr="00944A5B">
        <w:trPr>
          <w:trHeight w:val="112"/>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Le es aplicable de conformidad con lo señalado en el artículo 107 del Código de la Administración Pública del Estado de Yucatán y el artículo 638 fracción III del Reglamento del Código de la Administración Pública del Estado de Yucatán; lo anterior en concordancia con lo señalado en los artículos 5 y 6 fracción II, y del capítulo II del Título Quinto </w:t>
            </w:r>
            <w:r w:rsidRPr="000919AC">
              <w:rPr>
                <w:rFonts w:asciiTheme="majorHAnsi" w:hAnsiTheme="majorHAnsi" w:cs="Calibri Light"/>
                <w:sz w:val="24"/>
                <w:szCs w:val="24"/>
              </w:rPr>
              <w:t xml:space="preserve">de la </w:t>
            </w:r>
            <w:r w:rsidRPr="000919AC">
              <w:rPr>
                <w:rFonts w:asciiTheme="majorHAnsi" w:eastAsia="Times New Roman" w:hAnsiTheme="majorHAnsi" w:cs="Calibri Light"/>
                <w:sz w:val="24"/>
                <w:szCs w:val="24"/>
                <w:lang w:eastAsia="es-MX"/>
              </w:rPr>
              <w:t xml:space="preserve">Ley del Presupuesto y Contabilidad Gubernamental del Estado de Yucatán; ya que en virtud de </w:t>
            </w:r>
            <w:r w:rsidRPr="000919AC">
              <w:rPr>
                <w:rFonts w:asciiTheme="majorHAnsi" w:eastAsia="Times New Roman" w:hAnsiTheme="majorHAnsi" w:cs="Calibri Light"/>
                <w:sz w:val="24"/>
                <w:szCs w:val="24"/>
                <w:lang w:eastAsia="es-MX"/>
              </w:rPr>
              <w:lastRenderedPageBreak/>
              <w:t xml:space="preserve">dichos ordenamientos, los ejecutores del gasto deben generar los informes financieros, presupuestarios, programáticos y contables para la integración de la cuenta pública. </w:t>
            </w:r>
          </w:p>
        </w:tc>
      </w:tr>
      <w:tr w:rsidR="00833E35" w:rsidRPr="000919AC" w:rsidTr="00BD1C35">
        <w:trPr>
          <w:trHeight w:val="501"/>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 información relativa a la deuda pública, en términos de la normatividad aplicable;</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lo señalado en los artículos 1 fracción I, 7 fracción X y 12 de la Ley de Deuda Pública del Estado de Yucatán, las entidades paraestatales pueden contratar y gestionar deuda, siempre y cuando acrediten solvencia suficiente para afrontar los compromisos que pretenden contraer o adquirir.</w:t>
            </w:r>
          </w:p>
        </w:tc>
      </w:tr>
      <w:tr w:rsidR="00833E35" w:rsidRPr="000919AC" w:rsidTr="00BD1C35">
        <w:trPr>
          <w:trHeight w:val="989"/>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hAnsiTheme="majorHAnsi" w:cs="Calibri Light"/>
                <w:sz w:val="24"/>
                <w:szCs w:val="24"/>
              </w:rPr>
            </w:pPr>
            <w:r w:rsidRPr="000919AC">
              <w:rPr>
                <w:rFonts w:asciiTheme="majorHAnsi" w:eastAsia="Times New Roman" w:hAnsiTheme="majorHAnsi" w:cs="Calibri Light"/>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833E35" w:rsidRPr="000919AC" w:rsidTr="00BD1C35">
        <w:trPr>
          <w:trHeight w:val="989"/>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XXIV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como ejecutores del gasto son sujetos de auditorías, de conformidad con lo señalado en los artículos 115 fracción V y  121 del Código de la Administración Pública de Yucatán, puesto que el primero señala que el órgano de gobierno, previo a la aprobación anual de los estados financieros, debe observar el informe de los comisarios y el dictamen de los auditores externos; en cuanto al segundo, este prevé que la Secretaría de la Contraloría General del Estado, podrá realizar visitas y auditorías a las entidades paraestatales.</w:t>
            </w:r>
          </w:p>
        </w:tc>
      </w:tr>
      <w:tr w:rsidR="00833E35" w:rsidRPr="000919AC" w:rsidTr="00BD1C35">
        <w:trPr>
          <w:trHeight w:val="501"/>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El resultado de la dictaminación de los estados financieros;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el organismo descentralizado es sujeto objeto de auditorías, de conformidad con lo señalado en el artículo 115 fracción V del Código de la Administración Pública de Yucatán, puesto que este señala que el órgano de gobierno, previo a la aprobación anualmente de los estados financieros, debe observar el informe de los comisarios y el dictamen de los auditores externos.</w:t>
            </w:r>
          </w:p>
        </w:tc>
      </w:tr>
      <w:tr w:rsidR="00833E35" w:rsidRPr="000919AC" w:rsidTr="00BD1C35">
        <w:trPr>
          <w:trHeight w:val="1967"/>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XXVI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su decreto de creación y los artículos 49 y 64 del Código de la Administración Pública de Yucatán, se encuentra dentro del ámbito de sus facultades competencias y funciones; aunado a lo anterior, el artículo 137 de la Ley del Presupuesto y Contabilidad Gubernamental del Estado de Yucatán, dispone que puede otorgar excepcionalmente ayudas a personas físicas o morales, siempre que cuente con suficiencia presupuestal, reúna los requisitos establecidos en el reglamento y medie autorización previa.</w:t>
            </w:r>
          </w:p>
        </w:tc>
      </w:tr>
      <w:tr w:rsidR="00833E35" w:rsidRPr="000919AC" w:rsidTr="00BD1C35">
        <w:trPr>
          <w:trHeight w:val="2212"/>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XXVII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su decreto de creación y los artículos 67 fracción VI y 76 fracción I del Código de la Administración Pública de Yucatán, se encuentra dentro del ámbito de sus facultades, competencias y funciones.</w:t>
            </w:r>
          </w:p>
        </w:tc>
      </w:tr>
      <w:tr w:rsidR="00833E35" w:rsidRPr="000919AC" w:rsidTr="00BD1C35">
        <w:trPr>
          <w:trHeight w:val="1723"/>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XXVIII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833E35" w:rsidRPr="000919AC" w:rsidTr="00BD1C35">
        <w:trPr>
          <w:trHeight w:val="629"/>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XXIX</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informes que por disposición legal generen los sujetos obligados;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Le es aplicable, toda vez que de conformidad con el artículo 116 fracción VIII del Código de la Administración Pública de Yucatán, el Director General debe presentar periódicamente al órgano de gobierno, el informe del desempeño de la entidad, asimismo en el artículo 624 fracción I, inciso a, del Reglamento del Código de la Administración Pública de </w:t>
            </w:r>
            <w:r w:rsidRPr="000919AC">
              <w:rPr>
                <w:rFonts w:asciiTheme="majorHAnsi" w:eastAsia="Times New Roman" w:hAnsiTheme="majorHAnsi" w:cs="Calibri Light"/>
                <w:sz w:val="24"/>
                <w:szCs w:val="24"/>
                <w:lang w:eastAsia="es-MX"/>
              </w:rPr>
              <w:lastRenderedPageBreak/>
              <w:t>Yucatán, se señala que en la Primera Sesión del año de la Junta de Gobierno, se deberá presentar el informe de gestión del titular de la entidad, correspondiente al ejercicio del año anterior.</w:t>
            </w:r>
          </w:p>
        </w:tc>
      </w:tr>
      <w:tr w:rsidR="00833E35" w:rsidRPr="000919AC" w:rsidTr="00BD1C35">
        <w:trPr>
          <w:trHeight w:val="885"/>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XXX</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Times New Roman"/>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sus </w:t>
            </w:r>
            <w:r w:rsidR="007F4425" w:rsidRPr="000919AC">
              <w:rPr>
                <w:rFonts w:asciiTheme="majorHAnsi" w:eastAsia="Times New Roman" w:hAnsiTheme="majorHAnsi" w:cs="Times New Roman"/>
                <w:color w:val="000000"/>
                <w:sz w:val="24"/>
                <w:szCs w:val="24"/>
                <w:lang w:eastAsia="es-MX"/>
              </w:rPr>
              <w:t>competencias</w:t>
            </w:r>
            <w:r w:rsidRPr="000919AC">
              <w:rPr>
                <w:rFonts w:asciiTheme="majorHAnsi" w:eastAsia="Times New Roman" w:hAnsiTheme="majorHAnsi" w:cs="Times New Roman"/>
                <w:color w:val="000000"/>
                <w:sz w:val="24"/>
                <w:szCs w:val="24"/>
                <w:lang w:eastAsia="es-MX"/>
              </w:rPr>
              <w:t xml:space="preserve">, facultades y/o funciones. </w:t>
            </w:r>
          </w:p>
        </w:tc>
      </w:tr>
      <w:tr w:rsidR="00833E35" w:rsidRPr="000919AC" w:rsidTr="00BD1C35">
        <w:trPr>
          <w:trHeight w:val="256"/>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XXXI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Informe de avances programáticos o presupuestales, balances generales y su estado financiero;</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833E35" w:rsidRPr="000919AC" w:rsidTr="00BD1C35">
        <w:trPr>
          <w:trHeight w:val="1145"/>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XXXII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Padrón de proveedores y contratistas;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Times New Roman"/>
                <w:color w:val="000000"/>
                <w:sz w:val="24"/>
                <w:szCs w:val="24"/>
                <w:lang w:eastAsia="es-MX"/>
              </w:rPr>
              <w:t xml:space="preserve">Le es aplicable, toda vez que de conformidad con el artículo 13 último párrafo de la </w:t>
            </w:r>
            <w:r w:rsidRPr="000919AC">
              <w:rPr>
                <w:rFonts w:asciiTheme="majorHAnsi" w:eastAsia="Times New Roman" w:hAnsiTheme="majorHAnsi" w:cs="Calibri Light"/>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833E35" w:rsidRPr="000919AC" w:rsidTr="00BD1C35">
        <w:trPr>
          <w:trHeight w:val="745"/>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XXXIII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convenios de coordinación de concertación con los sectores social y privado;</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su decreto de creación y los artículos 67 fracción VI y 76 fracción I del Código de la Administración Pública de Yucatán, se encuentra dentro del ámbito de sus facultades, competencias y funciones.</w:t>
            </w:r>
          </w:p>
        </w:tc>
      </w:tr>
      <w:tr w:rsidR="00833E35" w:rsidRPr="000919AC" w:rsidTr="00BD1C35">
        <w:trPr>
          <w:trHeight w:val="501"/>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XXXIV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El inventario de bienes muebles e inmuebles en posesión y propiedad;</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833E35" w:rsidRPr="000919AC" w:rsidTr="00944A5B">
        <w:trPr>
          <w:trHeight w:val="70"/>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XXXV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833E35" w:rsidRPr="000919AC" w:rsidTr="00BD1C35">
        <w:trPr>
          <w:trHeight w:val="745"/>
          <w:jc w:val="center"/>
        </w:trPr>
        <w:tc>
          <w:tcPr>
            <w:tcW w:w="810" w:type="dxa"/>
            <w:shd w:val="clear" w:color="auto" w:fill="auto"/>
            <w:vAlign w:val="center"/>
            <w:hideMark/>
          </w:tcPr>
          <w:p w:rsidR="00833E35" w:rsidRPr="00751EE2" w:rsidRDefault="00833E35" w:rsidP="000919AC">
            <w:pPr>
              <w:spacing w:after="0" w:line="240" w:lineRule="auto"/>
              <w:jc w:val="center"/>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XXXVI</w:t>
            </w:r>
          </w:p>
        </w:tc>
        <w:tc>
          <w:tcPr>
            <w:tcW w:w="4106" w:type="dxa"/>
            <w:shd w:val="clear" w:color="auto" w:fill="auto"/>
            <w:vAlign w:val="center"/>
            <w:hideMark/>
          </w:tcPr>
          <w:p w:rsidR="00833E35" w:rsidRPr="00751EE2" w:rsidRDefault="00833E35" w:rsidP="000919AC">
            <w:pPr>
              <w:spacing w:after="0" w:line="240" w:lineRule="auto"/>
              <w:jc w:val="both"/>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 xml:space="preserve">Las resoluciones y laudos que se emitan en procesos o procedimientos seguidos en forma de juicio; </w:t>
            </w:r>
          </w:p>
        </w:tc>
        <w:tc>
          <w:tcPr>
            <w:tcW w:w="4397" w:type="dxa"/>
            <w:shd w:val="clear" w:color="auto" w:fill="auto"/>
            <w:vAlign w:val="center"/>
            <w:hideMark/>
          </w:tcPr>
          <w:p w:rsidR="00833E35" w:rsidRPr="00751EE2" w:rsidRDefault="00833E35" w:rsidP="000919AC">
            <w:pPr>
              <w:spacing w:after="0" w:line="240" w:lineRule="auto"/>
              <w:jc w:val="both"/>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No le es aplicable, ya que de conformidad con el artículo 5 de su decreto de creación y el artículo 66 del Código de la Administración Pública de Yucatán, no cuenta con facultades ni atribuciones para emitir sentencias o resoluciones de tipo judicial, jurisdiccional o arbitral, ni mucho menos para seguir procedimientos en forma de juicio.</w:t>
            </w:r>
          </w:p>
        </w:tc>
      </w:tr>
      <w:tr w:rsidR="00833E35" w:rsidRPr="000919AC" w:rsidTr="00BD1C35">
        <w:trPr>
          <w:trHeight w:val="256"/>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XXXVII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mecanismos de participación ciudadana;</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los artículos 4 y 5 de su decreto de creación, se encuentra dentro de su ámbito de competencias, facultades o funciones.</w:t>
            </w:r>
          </w:p>
        </w:tc>
      </w:tr>
      <w:tr w:rsidR="00833E35" w:rsidRPr="000919AC" w:rsidTr="00BD1C35">
        <w:trPr>
          <w:trHeight w:val="1234"/>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XXXVIII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su decreto de creación y el artículo 34 fracción I de la Ley del Presupuesto y Contabilidad Gubernamental del Estado de Yucatán, debe incluir en su programa operativo anual lo referente a los programas, actividades y proyectos que deberán realizar.</w:t>
            </w:r>
          </w:p>
        </w:tc>
      </w:tr>
      <w:tr w:rsidR="00833E35" w:rsidRPr="000919AC" w:rsidTr="00BD1C35">
        <w:trPr>
          <w:trHeight w:val="501"/>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XXXIX</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actas y resoluciones del Comité de Transparencia de los sujetos obligados;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833E35" w:rsidRPr="000919AC" w:rsidTr="00BD1C35">
        <w:trPr>
          <w:trHeight w:val="920"/>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XL</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lo señalado en el artículo 171 de la Ley del Presupuesto y Contabilidad Gubernamental del Estado de Yucatán, los ejecutores del gasto, deberán publicar la información relacionada con los resultados de las evaluaciones de los programas a su cargo.</w:t>
            </w:r>
          </w:p>
        </w:tc>
      </w:tr>
      <w:tr w:rsidR="00833E35" w:rsidRPr="000919AC" w:rsidTr="00BD1C35">
        <w:trPr>
          <w:trHeight w:val="617"/>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XLI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Los estudios financiados con recursos públicos; </w:t>
            </w:r>
          </w:p>
        </w:tc>
        <w:tc>
          <w:tcPr>
            <w:tcW w:w="4397" w:type="dxa"/>
            <w:shd w:val="clear" w:color="auto" w:fill="auto"/>
            <w:vAlign w:val="center"/>
            <w:hideMark/>
          </w:tcPr>
          <w:p w:rsidR="00833E35" w:rsidRPr="000919AC" w:rsidRDefault="006311FC"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si bien la información a la que se refiere esta fracción, no se señala expresamente entre sus funciones y atribuciones establecidas en su decreto de creación, el sujeto obligado no se encuentra impedido a financiar estudios relacionados con el objeto para el que fue creado o con el cumplimiento del mismo.</w:t>
            </w:r>
          </w:p>
        </w:tc>
      </w:tr>
      <w:tr w:rsidR="00833E35" w:rsidRPr="000919AC" w:rsidTr="00BD1C35">
        <w:trPr>
          <w:trHeight w:val="536"/>
          <w:jc w:val="center"/>
        </w:trPr>
        <w:tc>
          <w:tcPr>
            <w:tcW w:w="810" w:type="dxa"/>
            <w:shd w:val="clear" w:color="auto" w:fill="auto"/>
            <w:vAlign w:val="center"/>
            <w:hideMark/>
          </w:tcPr>
          <w:p w:rsidR="00833E35" w:rsidRPr="00751EE2" w:rsidRDefault="00833E35" w:rsidP="000919AC">
            <w:pPr>
              <w:spacing w:after="0" w:line="240" w:lineRule="auto"/>
              <w:jc w:val="center"/>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XLII</w:t>
            </w:r>
          </w:p>
        </w:tc>
        <w:tc>
          <w:tcPr>
            <w:tcW w:w="4106" w:type="dxa"/>
            <w:shd w:val="clear" w:color="auto" w:fill="auto"/>
            <w:vAlign w:val="center"/>
            <w:hideMark/>
          </w:tcPr>
          <w:p w:rsidR="00833E35" w:rsidRPr="00751EE2" w:rsidRDefault="00833E35" w:rsidP="000919AC">
            <w:pPr>
              <w:spacing w:after="0" w:line="240" w:lineRule="auto"/>
              <w:jc w:val="both"/>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El listado de jubilados y pensionados y el monto que reciben;</w:t>
            </w:r>
          </w:p>
        </w:tc>
        <w:tc>
          <w:tcPr>
            <w:tcW w:w="4397" w:type="dxa"/>
            <w:shd w:val="clear" w:color="auto" w:fill="auto"/>
            <w:vAlign w:val="center"/>
            <w:hideMark/>
          </w:tcPr>
          <w:p w:rsidR="00833E35" w:rsidRPr="00751EE2" w:rsidRDefault="00833E35" w:rsidP="000919AC">
            <w:pPr>
              <w:spacing w:after="0" w:line="240" w:lineRule="auto"/>
              <w:jc w:val="both"/>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primeros, así como el monto de la pensión que reciban.</w:t>
            </w:r>
          </w:p>
        </w:tc>
      </w:tr>
      <w:tr w:rsidR="00833E35" w:rsidRPr="000919AC" w:rsidTr="00BD1C35">
        <w:trPr>
          <w:trHeight w:val="1479"/>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XLIII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de conformidad con lo señalado en los artículos 67 fracción III y 68 bis del Código de la Administración Pública de Yucatán, toda vez que en ellos se señala la forma de integrar o incrementar su patrimonio de los organismos descentralizados.</w:t>
            </w:r>
          </w:p>
        </w:tc>
      </w:tr>
      <w:tr w:rsidR="00833E35" w:rsidRPr="000919AC" w:rsidTr="00BD1C35">
        <w:trPr>
          <w:trHeight w:val="756"/>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XLIV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Donaciones hechas a terceros en dinero o en especie;</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de conformidad con lo señalado en el artículo 7 fracción III de la Ley de Bienes del Estado de Yucatán y el artículo 115 fracción XIV del Código de la Administración Pública de Yucatán, se encuentra dentro del ámbito de sus competencias, facultades o funciones.</w:t>
            </w:r>
          </w:p>
        </w:tc>
      </w:tr>
      <w:tr w:rsidR="00833E35" w:rsidRPr="000919AC" w:rsidTr="00BD1C35">
        <w:trPr>
          <w:trHeight w:val="780"/>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XLV</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El catálogo de disposición y guía de archivo documental;</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b/>
                <w:sz w:val="24"/>
                <w:szCs w:val="24"/>
                <w:lang w:eastAsia="es-MX"/>
              </w:rPr>
            </w:pPr>
            <w:r w:rsidRPr="000919AC">
              <w:rPr>
                <w:rFonts w:asciiTheme="majorHAnsi" w:eastAsia="Times New Roman" w:hAnsiTheme="majorHAnsi" w:cs="Calibri Light"/>
                <w:sz w:val="24"/>
                <w:szCs w:val="24"/>
                <w:lang w:eastAsia="es-MX"/>
              </w:rPr>
              <w:t>Le es aplicable,</w:t>
            </w:r>
            <w:r w:rsidRPr="000919AC">
              <w:rPr>
                <w:rFonts w:asciiTheme="majorHAnsi" w:eastAsia="Times New Roman" w:hAnsiTheme="majorHAnsi" w:cs="Calibri Light"/>
                <w:b/>
                <w:sz w:val="24"/>
                <w:szCs w:val="24"/>
                <w:lang w:eastAsia="es-MX"/>
              </w:rPr>
              <w:t xml:space="preserve"> </w:t>
            </w:r>
            <w:r w:rsidRPr="000919AC">
              <w:rPr>
                <w:rFonts w:asciiTheme="majorHAnsi" w:hAnsiTheme="majorHAnsi"/>
                <w:sz w:val="24"/>
                <w:szCs w:val="24"/>
              </w:rPr>
              <w:t xml:space="preserve">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w:t>
            </w:r>
            <w:r w:rsidRPr="000919AC">
              <w:rPr>
                <w:rFonts w:asciiTheme="majorHAnsi" w:hAnsiTheme="majorHAnsi"/>
                <w:sz w:val="24"/>
                <w:szCs w:val="24"/>
              </w:rPr>
              <w:lastRenderedPageBreak/>
              <w:t>documental.</w:t>
            </w:r>
          </w:p>
        </w:tc>
      </w:tr>
      <w:tr w:rsidR="00833E35" w:rsidRPr="000919AC" w:rsidTr="00BD1C35">
        <w:trPr>
          <w:trHeight w:val="1036"/>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lastRenderedPageBreak/>
              <w:t>XLVI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razón de lo anterior y considerando que una inaplicabilidad de conformidad con los Lineamientos técnicos generales, se refiere a la información que el sujeto obligado no generará en ningún momento, se determina que le es aplicable a este organismo descentralizado, por lo que de no contar con consejos consultivos, bastará con que éste declare la inexistencia de la información a la que se refiere esta fracción, en términos de la normatividad aplicable.</w:t>
            </w:r>
          </w:p>
        </w:tc>
      </w:tr>
      <w:tr w:rsidR="00833E35" w:rsidRPr="000919AC" w:rsidTr="00BD1C35">
        <w:trPr>
          <w:trHeight w:val="1234"/>
          <w:jc w:val="center"/>
        </w:trPr>
        <w:tc>
          <w:tcPr>
            <w:tcW w:w="810" w:type="dxa"/>
            <w:shd w:val="clear" w:color="auto" w:fill="auto"/>
            <w:vAlign w:val="center"/>
          </w:tcPr>
          <w:p w:rsidR="00833E35" w:rsidRPr="00751EE2" w:rsidRDefault="00833E35" w:rsidP="000919AC">
            <w:pPr>
              <w:spacing w:after="0" w:line="240" w:lineRule="auto"/>
              <w:jc w:val="center"/>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lastRenderedPageBreak/>
              <w:t>XLVII</w:t>
            </w:r>
          </w:p>
        </w:tc>
        <w:tc>
          <w:tcPr>
            <w:tcW w:w="4106" w:type="dxa"/>
            <w:shd w:val="clear" w:color="auto" w:fill="auto"/>
            <w:vAlign w:val="center"/>
          </w:tcPr>
          <w:p w:rsidR="00833E35" w:rsidRPr="00751EE2" w:rsidRDefault="00833E35" w:rsidP="000919AC">
            <w:pPr>
              <w:spacing w:after="0" w:line="240" w:lineRule="auto"/>
              <w:jc w:val="both"/>
              <w:rPr>
                <w:rFonts w:asciiTheme="majorHAnsi" w:eastAsia="Times New Roman" w:hAnsiTheme="majorHAnsi" w:cs="Calibri Light"/>
                <w:sz w:val="24"/>
                <w:szCs w:val="24"/>
                <w:highlight w:val="yellow"/>
                <w:lang w:eastAsia="es-MX"/>
              </w:rPr>
            </w:pPr>
            <w:r w:rsidRPr="00751EE2">
              <w:rPr>
                <w:rFonts w:asciiTheme="majorHAnsi" w:eastAsia="Times New Roman" w:hAnsiTheme="majorHAnsi" w:cs="Calibri Light"/>
                <w:sz w:val="24"/>
                <w:szCs w:val="24"/>
                <w:highlight w:val="yellow"/>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833E35" w:rsidRPr="00751EE2" w:rsidRDefault="00833E35" w:rsidP="000919AC">
            <w:pPr>
              <w:spacing w:after="0" w:line="240" w:lineRule="auto"/>
              <w:jc w:val="both"/>
              <w:rPr>
                <w:rFonts w:asciiTheme="majorHAnsi" w:eastAsia="Times New Roman" w:hAnsiTheme="majorHAnsi" w:cs="Times New Roman"/>
                <w:color w:val="000000"/>
                <w:sz w:val="24"/>
                <w:szCs w:val="24"/>
                <w:highlight w:val="yellow"/>
                <w:lang w:eastAsia="es-MX"/>
              </w:rPr>
            </w:pPr>
            <w:r w:rsidRPr="00751EE2">
              <w:rPr>
                <w:rFonts w:asciiTheme="majorHAnsi" w:eastAsia="Times New Roman" w:hAnsiTheme="majorHAnsi" w:cs="Times New Roman"/>
                <w:color w:val="000000"/>
                <w:sz w:val="24"/>
                <w:szCs w:val="24"/>
                <w:highlight w:val="yellow"/>
                <w:lang w:eastAsia="es-MX"/>
              </w:rPr>
              <w:t xml:space="preserve">No le es aplicable, toda vez que de conformidad con su decreto de creación y el artículo 66 del Código de la Administración Pública de Yucatán, no se encuentra dentro de su ámbito de competencias, facultades o funciones; ya que </w:t>
            </w:r>
            <w:r w:rsidRPr="00751EE2">
              <w:rPr>
                <w:rFonts w:asciiTheme="majorHAnsi" w:hAnsiTheme="majorHAnsi"/>
                <w:color w:val="000000"/>
                <w:sz w:val="24"/>
                <w:szCs w:val="24"/>
                <w:highlight w:val="yellow"/>
              </w:rPr>
              <w:t>de conformidad con lo establecido en el artículo 27 de la Constitución Política de los Estados Unidos Mexicanos, las concesiones en materia de telecomunicaciones son otorgadas por el Instituto Federal de Telecomunicaciones.</w:t>
            </w:r>
          </w:p>
        </w:tc>
      </w:tr>
      <w:tr w:rsidR="00833E35" w:rsidRPr="000919AC" w:rsidTr="00BD1C35">
        <w:trPr>
          <w:trHeight w:val="1234"/>
          <w:jc w:val="center"/>
        </w:trPr>
        <w:tc>
          <w:tcPr>
            <w:tcW w:w="810" w:type="dxa"/>
            <w:shd w:val="clear" w:color="auto" w:fill="auto"/>
            <w:vAlign w:val="center"/>
            <w:hideMark/>
          </w:tcPr>
          <w:p w:rsidR="00833E35" w:rsidRPr="000919AC" w:rsidRDefault="00833E35" w:rsidP="000919AC">
            <w:pPr>
              <w:spacing w:after="0" w:line="240" w:lineRule="auto"/>
              <w:jc w:val="center"/>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XLVIII</w:t>
            </w:r>
          </w:p>
        </w:tc>
        <w:tc>
          <w:tcPr>
            <w:tcW w:w="4106"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833E35" w:rsidRPr="000919AC" w:rsidRDefault="00833E35" w:rsidP="000919AC">
            <w:pPr>
              <w:spacing w:after="0" w:line="240" w:lineRule="auto"/>
              <w:jc w:val="both"/>
              <w:rPr>
                <w:rFonts w:asciiTheme="majorHAnsi" w:eastAsia="Times New Roman" w:hAnsiTheme="majorHAnsi" w:cs="Calibri Light"/>
                <w:sz w:val="24"/>
                <w:szCs w:val="24"/>
                <w:lang w:eastAsia="es-MX"/>
              </w:rPr>
            </w:pPr>
            <w:r w:rsidRPr="000919AC">
              <w:rPr>
                <w:rFonts w:asciiTheme="majorHAnsi" w:eastAsia="Times New Roman" w:hAnsiTheme="majorHAnsi" w:cs="Calibri Light"/>
                <w:sz w:val="24"/>
                <w:szCs w:val="24"/>
                <w:lang w:eastAsia="es-MX"/>
              </w:rPr>
              <w:t xml:space="preserve">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w:t>
            </w:r>
            <w:r w:rsidRPr="000919AC">
              <w:rPr>
                <w:rFonts w:asciiTheme="majorHAnsi" w:eastAsia="Times New Roman" w:hAnsiTheme="majorHAnsi" w:cs="Calibri Light"/>
                <w:sz w:val="24"/>
                <w:szCs w:val="24"/>
                <w:lang w:eastAsia="es-MX"/>
              </w:rPr>
              <w:lastRenderedPageBreak/>
              <w:t>personas cuenten con elementos para la toma de decisiones en cualquier ámbito.</w:t>
            </w:r>
          </w:p>
        </w:tc>
      </w:tr>
    </w:tbl>
    <w:p w:rsidR="00833E35" w:rsidRPr="000919AC" w:rsidRDefault="00833E35" w:rsidP="000919AC">
      <w:pPr>
        <w:spacing w:after="0" w:line="240" w:lineRule="auto"/>
        <w:rPr>
          <w:rFonts w:asciiTheme="majorHAnsi" w:hAnsiTheme="majorHAnsi"/>
          <w:b/>
          <w:sz w:val="24"/>
          <w:szCs w:val="24"/>
        </w:rPr>
      </w:pPr>
    </w:p>
    <w:p w:rsidR="00E762D8" w:rsidRPr="000919AC" w:rsidRDefault="00E762D8" w:rsidP="000919AC">
      <w:pPr>
        <w:spacing w:after="0" w:line="240" w:lineRule="auto"/>
        <w:jc w:val="both"/>
        <w:rPr>
          <w:rFonts w:asciiTheme="majorHAnsi" w:eastAsia="Arial" w:hAnsiTheme="majorHAnsi" w:cs="Arial"/>
          <w:sz w:val="24"/>
          <w:szCs w:val="24"/>
        </w:rPr>
      </w:pPr>
    </w:p>
    <w:p w:rsidR="00722ACF" w:rsidRPr="000919AC" w:rsidRDefault="00722ACF"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Respecto a los ayuntamientos que no remitieron sus tablas de aplicabilidad de obligaciones de transparencia comunes, </w:t>
      </w:r>
      <w:r w:rsidR="008F493B" w:rsidRPr="000919AC">
        <w:rPr>
          <w:rFonts w:asciiTheme="majorHAnsi" w:eastAsia="Arial" w:hAnsiTheme="majorHAnsi" w:cs="Arial"/>
          <w:sz w:val="24"/>
          <w:szCs w:val="24"/>
        </w:rPr>
        <w:t>lo dispuesto en el presente considerando, le es aplicable a éstos.</w:t>
      </w:r>
    </w:p>
    <w:p w:rsidR="00EA574B" w:rsidRPr="000919AC" w:rsidRDefault="00EA574B" w:rsidP="000919AC">
      <w:pPr>
        <w:spacing w:after="0" w:line="240" w:lineRule="auto"/>
        <w:jc w:val="both"/>
        <w:rPr>
          <w:rFonts w:asciiTheme="majorHAnsi" w:eastAsia="Arial" w:hAnsiTheme="majorHAnsi" w:cs="Arial"/>
          <w:sz w:val="24"/>
          <w:szCs w:val="24"/>
        </w:rPr>
      </w:pPr>
    </w:p>
    <w:p w:rsidR="00401D14" w:rsidRPr="000919AC" w:rsidRDefault="000540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OCTAVO</w:t>
      </w:r>
      <w:r w:rsidR="008F493B" w:rsidRPr="000919AC">
        <w:rPr>
          <w:rFonts w:asciiTheme="majorHAnsi" w:eastAsia="Arial" w:hAnsiTheme="majorHAnsi" w:cs="Arial"/>
          <w:b/>
          <w:sz w:val="24"/>
          <w:szCs w:val="24"/>
        </w:rPr>
        <w:t>.-</w:t>
      </w:r>
      <w:r w:rsidR="008F493B" w:rsidRPr="000919AC">
        <w:rPr>
          <w:rFonts w:asciiTheme="majorHAnsi" w:eastAsia="Arial" w:hAnsiTheme="majorHAnsi" w:cs="Arial"/>
          <w:sz w:val="24"/>
          <w:szCs w:val="24"/>
        </w:rPr>
        <w:t xml:space="preserve"> Para poder determinar, la aplicabilidad de las obligaciones de transparencia comunes de los organismos descentralizados municipales</w:t>
      </w:r>
      <w:r w:rsidR="00FA1B9A" w:rsidRPr="000919AC">
        <w:rPr>
          <w:rFonts w:asciiTheme="majorHAnsi" w:eastAsia="Arial" w:hAnsiTheme="majorHAnsi" w:cs="Arial"/>
          <w:sz w:val="24"/>
          <w:szCs w:val="24"/>
        </w:rPr>
        <w:t xml:space="preserve"> y de las entidades paramunicipales</w:t>
      </w:r>
      <w:r w:rsidR="008F493B" w:rsidRPr="000919AC">
        <w:rPr>
          <w:rFonts w:asciiTheme="majorHAnsi" w:eastAsia="Arial" w:hAnsiTheme="majorHAnsi" w:cs="Arial"/>
          <w:sz w:val="24"/>
          <w:szCs w:val="24"/>
        </w:rPr>
        <w:t>, se consideró la naturaleza jurídica de esta</w:t>
      </w:r>
      <w:r w:rsidR="00FA1B9A" w:rsidRPr="000919AC">
        <w:rPr>
          <w:rFonts w:asciiTheme="majorHAnsi" w:eastAsia="Arial" w:hAnsiTheme="majorHAnsi" w:cs="Arial"/>
          <w:sz w:val="24"/>
          <w:szCs w:val="24"/>
        </w:rPr>
        <w:t>s</w:t>
      </w:r>
      <w:r w:rsidR="008F493B" w:rsidRPr="000919AC">
        <w:rPr>
          <w:rFonts w:asciiTheme="majorHAnsi" w:eastAsia="Arial" w:hAnsiTheme="majorHAnsi" w:cs="Arial"/>
          <w:sz w:val="24"/>
          <w:szCs w:val="24"/>
        </w:rPr>
        <w:t xml:space="preserve"> forma</w:t>
      </w:r>
      <w:r w:rsidR="00FA1B9A" w:rsidRPr="000919AC">
        <w:rPr>
          <w:rFonts w:asciiTheme="majorHAnsi" w:eastAsia="Arial" w:hAnsiTheme="majorHAnsi" w:cs="Arial"/>
          <w:sz w:val="24"/>
          <w:szCs w:val="24"/>
        </w:rPr>
        <w:t>s</w:t>
      </w:r>
      <w:r w:rsidR="008F493B" w:rsidRPr="000919AC">
        <w:rPr>
          <w:rFonts w:asciiTheme="majorHAnsi" w:eastAsia="Arial" w:hAnsiTheme="majorHAnsi" w:cs="Arial"/>
          <w:sz w:val="24"/>
          <w:szCs w:val="24"/>
        </w:rPr>
        <w:t xml:space="preserve"> de organización administrativa</w:t>
      </w:r>
      <w:r w:rsidR="00401D14" w:rsidRPr="000919AC">
        <w:rPr>
          <w:rFonts w:asciiTheme="majorHAnsi" w:eastAsia="Arial" w:hAnsiTheme="majorHAnsi" w:cs="Arial"/>
          <w:sz w:val="24"/>
          <w:szCs w:val="24"/>
        </w:rPr>
        <w:t>.</w:t>
      </w:r>
    </w:p>
    <w:p w:rsidR="00103D9E" w:rsidRDefault="00103D9E" w:rsidP="000919AC">
      <w:pPr>
        <w:spacing w:after="0" w:line="240" w:lineRule="auto"/>
        <w:jc w:val="both"/>
        <w:rPr>
          <w:rFonts w:asciiTheme="majorHAnsi" w:eastAsia="Arial" w:hAnsiTheme="majorHAnsi" w:cs="Arial"/>
          <w:sz w:val="24"/>
          <w:szCs w:val="24"/>
        </w:rPr>
      </w:pPr>
    </w:p>
    <w:p w:rsidR="00E618FF" w:rsidRPr="000919AC" w:rsidRDefault="00E618FF" w:rsidP="000919AC">
      <w:pPr>
        <w:spacing w:after="0" w:line="240" w:lineRule="auto"/>
        <w:rPr>
          <w:rFonts w:asciiTheme="majorHAnsi" w:hAnsiTheme="majorHAnsi"/>
          <w:sz w:val="24"/>
          <w:szCs w:val="24"/>
        </w:rPr>
      </w:pPr>
    </w:p>
    <w:p w:rsidR="00C10F91" w:rsidRPr="000919AC" w:rsidRDefault="00C10F9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En tal razón, se acuerda:</w:t>
      </w:r>
    </w:p>
    <w:p w:rsidR="00C10F91" w:rsidRPr="000919AC" w:rsidRDefault="00C10F91" w:rsidP="000919AC">
      <w:pPr>
        <w:spacing w:after="0" w:line="240" w:lineRule="auto"/>
        <w:jc w:val="both"/>
        <w:rPr>
          <w:rFonts w:asciiTheme="majorHAnsi" w:eastAsia="Arial" w:hAnsiTheme="majorHAnsi" w:cs="Arial"/>
          <w:sz w:val="24"/>
          <w:szCs w:val="24"/>
        </w:rPr>
      </w:pPr>
    </w:p>
    <w:p w:rsidR="00C10F91" w:rsidRPr="000919AC" w:rsidRDefault="00C10F9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PRIMERO.- </w:t>
      </w:r>
      <w:r w:rsidRPr="000919AC">
        <w:rPr>
          <w:rFonts w:asciiTheme="majorHAnsi" w:eastAsia="Arial" w:hAnsiTheme="majorHAnsi" w:cs="Arial"/>
          <w:sz w:val="24"/>
          <w:szCs w:val="24"/>
        </w:rPr>
        <w:t>Se aprueba</w:t>
      </w:r>
      <w:r w:rsidR="00EB36F2" w:rsidRPr="000919AC">
        <w:rPr>
          <w:rFonts w:asciiTheme="majorHAnsi" w:eastAsia="Arial" w:hAnsiTheme="majorHAnsi" w:cs="Arial"/>
          <w:sz w:val="24"/>
          <w:szCs w:val="24"/>
        </w:rPr>
        <w:t>n las tablas de aplicabilidad de las obligaciones de transparencia comunes de los</w:t>
      </w:r>
      <w:r w:rsidR="008A416E" w:rsidRPr="000919AC">
        <w:rPr>
          <w:rFonts w:asciiTheme="majorHAnsi" w:eastAsia="Arial" w:hAnsiTheme="majorHAnsi" w:cs="Arial"/>
          <w:sz w:val="24"/>
          <w:szCs w:val="24"/>
        </w:rPr>
        <w:t xml:space="preserve"> sujetos obligados del Poder Ejecutivo,</w:t>
      </w:r>
      <w:r w:rsidR="00EB36F2" w:rsidRPr="000919AC">
        <w:rPr>
          <w:rFonts w:asciiTheme="majorHAnsi" w:eastAsia="Arial" w:hAnsiTheme="majorHAnsi" w:cs="Arial"/>
          <w:sz w:val="24"/>
          <w:szCs w:val="24"/>
        </w:rPr>
        <w:t xml:space="preserve"> ayuntamientos, organismos municipales y partidos políticos</w:t>
      </w:r>
      <w:r w:rsidRPr="000919AC">
        <w:rPr>
          <w:rFonts w:asciiTheme="majorHAnsi" w:eastAsia="Arial" w:hAnsiTheme="majorHAnsi" w:cs="Arial"/>
          <w:sz w:val="24"/>
          <w:szCs w:val="24"/>
        </w:rPr>
        <w:t xml:space="preserve">, de conformidad considerandos </w:t>
      </w:r>
      <w:r w:rsidR="00905A05" w:rsidRPr="000919AC">
        <w:rPr>
          <w:rFonts w:asciiTheme="majorHAnsi" w:eastAsia="Arial" w:hAnsiTheme="majorHAnsi" w:cs="Arial"/>
          <w:sz w:val="24"/>
          <w:szCs w:val="24"/>
        </w:rPr>
        <w:t>sexto,</w:t>
      </w:r>
      <w:r w:rsidR="00EB36F2" w:rsidRPr="000919AC">
        <w:rPr>
          <w:rFonts w:asciiTheme="majorHAnsi" w:eastAsia="Arial" w:hAnsiTheme="majorHAnsi" w:cs="Arial"/>
          <w:sz w:val="24"/>
          <w:szCs w:val="24"/>
        </w:rPr>
        <w:t xml:space="preserve"> séptimo</w:t>
      </w:r>
      <w:r w:rsidR="00905A05" w:rsidRPr="000919AC">
        <w:rPr>
          <w:rFonts w:asciiTheme="majorHAnsi" w:eastAsia="Arial" w:hAnsiTheme="majorHAnsi" w:cs="Arial"/>
          <w:sz w:val="24"/>
          <w:szCs w:val="24"/>
        </w:rPr>
        <w:t>, octavo y noveno</w:t>
      </w:r>
      <w:r w:rsidR="00EB36F2" w:rsidRPr="000919AC">
        <w:rPr>
          <w:rFonts w:asciiTheme="majorHAnsi" w:eastAsia="Arial" w:hAnsiTheme="majorHAnsi" w:cs="Arial"/>
          <w:sz w:val="24"/>
          <w:szCs w:val="24"/>
        </w:rPr>
        <w:t xml:space="preserve"> del presente</w:t>
      </w:r>
      <w:r w:rsidRPr="000919AC">
        <w:rPr>
          <w:rFonts w:asciiTheme="majorHAnsi" w:eastAsia="Arial" w:hAnsiTheme="majorHAnsi" w:cs="Arial"/>
          <w:sz w:val="24"/>
          <w:szCs w:val="24"/>
        </w:rPr>
        <w:t>.</w:t>
      </w:r>
    </w:p>
    <w:p w:rsidR="00C10F91" w:rsidRPr="000919AC" w:rsidRDefault="00C10F91" w:rsidP="000919AC">
      <w:pPr>
        <w:spacing w:after="0" w:line="240" w:lineRule="auto"/>
        <w:jc w:val="both"/>
        <w:rPr>
          <w:rFonts w:asciiTheme="majorHAnsi" w:eastAsia="Arial" w:hAnsiTheme="majorHAnsi" w:cs="Arial"/>
          <w:sz w:val="24"/>
          <w:szCs w:val="24"/>
        </w:rPr>
      </w:pPr>
    </w:p>
    <w:p w:rsidR="00EB36F2" w:rsidRPr="000919AC" w:rsidRDefault="0050662C"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SEGUNDO.- </w:t>
      </w:r>
      <w:r w:rsidR="00EB36F2" w:rsidRPr="000919AC">
        <w:rPr>
          <w:rFonts w:asciiTheme="majorHAnsi" w:eastAsia="Arial" w:hAnsiTheme="majorHAnsi" w:cs="Arial"/>
          <w:sz w:val="24"/>
          <w:szCs w:val="24"/>
        </w:rPr>
        <w:t>Se ordena a los</w:t>
      </w:r>
      <w:r w:rsidR="008A416E" w:rsidRPr="000919AC">
        <w:rPr>
          <w:rFonts w:asciiTheme="majorHAnsi" w:eastAsia="Arial" w:hAnsiTheme="majorHAnsi" w:cs="Arial"/>
          <w:sz w:val="24"/>
          <w:szCs w:val="24"/>
        </w:rPr>
        <w:t xml:space="preserve"> sujetos </w:t>
      </w:r>
      <w:r w:rsidR="00905A05" w:rsidRPr="000919AC">
        <w:rPr>
          <w:rFonts w:asciiTheme="majorHAnsi" w:eastAsia="Arial" w:hAnsiTheme="majorHAnsi" w:cs="Arial"/>
          <w:sz w:val="24"/>
          <w:szCs w:val="24"/>
        </w:rPr>
        <w:t xml:space="preserve">obligados </w:t>
      </w:r>
      <w:r w:rsidR="008A416E" w:rsidRPr="000919AC">
        <w:rPr>
          <w:rFonts w:asciiTheme="majorHAnsi" w:eastAsia="Arial" w:hAnsiTheme="majorHAnsi" w:cs="Arial"/>
          <w:sz w:val="24"/>
          <w:szCs w:val="24"/>
        </w:rPr>
        <w:t>del Poder Ejecutivo,</w:t>
      </w:r>
      <w:r w:rsidR="00EB36F2" w:rsidRPr="000919AC">
        <w:rPr>
          <w:rFonts w:asciiTheme="majorHAnsi" w:eastAsia="Arial" w:hAnsiTheme="majorHAnsi" w:cs="Arial"/>
          <w:sz w:val="24"/>
          <w:szCs w:val="24"/>
        </w:rPr>
        <w:t xml:space="preserve"> ayuntamientos, organismos municipales y partidos políticos, que no hayan aprobado sus tablas con base a las valoraciones realizadas en los considerandos </w:t>
      </w:r>
      <w:r w:rsidR="00905A05" w:rsidRPr="000919AC">
        <w:rPr>
          <w:rFonts w:asciiTheme="majorHAnsi" w:eastAsia="Arial" w:hAnsiTheme="majorHAnsi" w:cs="Arial"/>
          <w:sz w:val="24"/>
          <w:szCs w:val="24"/>
        </w:rPr>
        <w:t>sexto, séptimo, octavo y noveno</w:t>
      </w:r>
      <w:r w:rsidR="00EB36F2" w:rsidRPr="000919AC">
        <w:rPr>
          <w:rFonts w:asciiTheme="majorHAnsi" w:eastAsia="Arial" w:hAnsiTheme="majorHAnsi" w:cs="Arial"/>
          <w:sz w:val="24"/>
          <w:szCs w:val="24"/>
        </w:rPr>
        <w:t>, a modificar sus tablas de aplicabilidad y que éstas sean aprobadas por sus comités de transparencia, únicamente en lo que respecta a las áreas que posean o generen la información, y que se publiquen en el sitio de internet del sujeto obligado que se trate</w:t>
      </w:r>
      <w:r w:rsidR="008A416E" w:rsidRPr="000919AC">
        <w:rPr>
          <w:rFonts w:asciiTheme="majorHAnsi" w:eastAsia="Arial" w:hAnsiTheme="majorHAnsi" w:cs="Arial"/>
          <w:sz w:val="24"/>
          <w:szCs w:val="24"/>
        </w:rPr>
        <w:t xml:space="preserve"> y en la Plataforma Nacional de Transparencia, en el apartado dispuesto para el último párrafo del artículo 70 de la Ley general de transparencia</w:t>
      </w:r>
      <w:r w:rsidR="00EB36F2" w:rsidRPr="000919AC">
        <w:rPr>
          <w:rFonts w:asciiTheme="majorHAnsi" w:eastAsia="Arial" w:hAnsiTheme="majorHAnsi" w:cs="Arial"/>
          <w:sz w:val="24"/>
          <w:szCs w:val="24"/>
        </w:rPr>
        <w:t xml:space="preserve">, </w:t>
      </w:r>
      <w:r w:rsidR="000414AD" w:rsidRPr="000919AC">
        <w:rPr>
          <w:rFonts w:asciiTheme="majorHAnsi" w:eastAsia="Arial" w:hAnsiTheme="majorHAnsi" w:cs="Arial"/>
          <w:sz w:val="24"/>
          <w:szCs w:val="24"/>
        </w:rPr>
        <w:t xml:space="preserve">en un plazo máximo de 15 días hábiles, contados a </w:t>
      </w:r>
      <w:r w:rsidR="00905A05" w:rsidRPr="000919AC">
        <w:rPr>
          <w:rFonts w:asciiTheme="majorHAnsi" w:eastAsia="Arial" w:hAnsiTheme="majorHAnsi" w:cs="Arial"/>
          <w:sz w:val="24"/>
          <w:szCs w:val="24"/>
        </w:rPr>
        <w:t>partir del día siguiente de la aprobación</w:t>
      </w:r>
      <w:r w:rsidR="000414AD" w:rsidRPr="000919AC">
        <w:rPr>
          <w:rFonts w:asciiTheme="majorHAnsi" w:eastAsia="Arial" w:hAnsiTheme="majorHAnsi" w:cs="Arial"/>
          <w:sz w:val="24"/>
          <w:szCs w:val="24"/>
        </w:rPr>
        <w:t xml:space="preserve"> del presente</w:t>
      </w:r>
      <w:r w:rsidR="00EB36F2" w:rsidRPr="000919AC">
        <w:rPr>
          <w:rFonts w:asciiTheme="majorHAnsi" w:eastAsia="Arial" w:hAnsiTheme="majorHAnsi" w:cs="Arial"/>
          <w:sz w:val="24"/>
          <w:szCs w:val="24"/>
        </w:rPr>
        <w:t>.</w:t>
      </w:r>
    </w:p>
    <w:p w:rsidR="000414AD" w:rsidRPr="000919AC" w:rsidRDefault="000414AD" w:rsidP="000919AC">
      <w:pPr>
        <w:spacing w:after="0" w:line="240" w:lineRule="auto"/>
        <w:jc w:val="both"/>
        <w:rPr>
          <w:rFonts w:asciiTheme="majorHAnsi" w:eastAsia="Arial" w:hAnsiTheme="majorHAnsi" w:cs="Arial"/>
          <w:sz w:val="24"/>
          <w:szCs w:val="24"/>
        </w:rPr>
      </w:pPr>
    </w:p>
    <w:p w:rsidR="0050662C" w:rsidRPr="000919AC" w:rsidRDefault="0050662C" w:rsidP="000919AC">
      <w:pPr>
        <w:spacing w:after="0" w:line="240" w:lineRule="auto"/>
        <w:jc w:val="both"/>
        <w:rPr>
          <w:rFonts w:asciiTheme="majorHAnsi" w:hAnsiTheme="majorHAnsi"/>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 xml:space="preserve">Se ordena a la Secretaría Ejecutiva del Instituto Estatal de Transparencia, Acceso a la Información Pública y Protección de Datos Personales, para que en un plazo máximo de </w:t>
      </w:r>
      <w:r w:rsidR="000414AD" w:rsidRPr="000919AC">
        <w:rPr>
          <w:rFonts w:asciiTheme="majorHAnsi" w:eastAsia="Arial" w:hAnsiTheme="majorHAnsi" w:cs="Arial"/>
          <w:sz w:val="24"/>
          <w:szCs w:val="24"/>
        </w:rPr>
        <w:t>1</w:t>
      </w:r>
      <w:r w:rsidR="008A416E" w:rsidRPr="000919AC">
        <w:rPr>
          <w:rFonts w:asciiTheme="majorHAnsi" w:eastAsia="Arial" w:hAnsiTheme="majorHAnsi" w:cs="Arial"/>
          <w:sz w:val="24"/>
          <w:szCs w:val="24"/>
        </w:rPr>
        <w:t>5</w:t>
      </w:r>
      <w:r w:rsidRPr="000919AC">
        <w:rPr>
          <w:rFonts w:asciiTheme="majorHAnsi" w:eastAsia="Arial" w:hAnsiTheme="majorHAnsi" w:cs="Arial"/>
          <w:sz w:val="24"/>
          <w:szCs w:val="24"/>
        </w:rPr>
        <w:t xml:space="preserve"> días </w:t>
      </w:r>
      <w:r w:rsidR="008A416E" w:rsidRPr="000919AC">
        <w:rPr>
          <w:rFonts w:asciiTheme="majorHAnsi" w:eastAsia="Arial" w:hAnsiTheme="majorHAnsi" w:cs="Arial"/>
          <w:sz w:val="24"/>
          <w:szCs w:val="24"/>
        </w:rPr>
        <w:t>hábiles</w:t>
      </w:r>
      <w:r w:rsidRPr="000919AC">
        <w:rPr>
          <w:rFonts w:asciiTheme="majorHAnsi" w:eastAsia="Arial" w:hAnsiTheme="majorHAnsi" w:cs="Arial"/>
          <w:sz w:val="24"/>
          <w:szCs w:val="24"/>
        </w:rPr>
        <w:t xml:space="preserve">, contados a </w:t>
      </w:r>
      <w:r w:rsidR="00905A05" w:rsidRPr="000919AC">
        <w:rPr>
          <w:rFonts w:asciiTheme="majorHAnsi" w:eastAsia="Arial" w:hAnsiTheme="majorHAnsi" w:cs="Arial"/>
          <w:sz w:val="24"/>
          <w:szCs w:val="24"/>
        </w:rPr>
        <w:t>partir del día siguiente de la aprobación</w:t>
      </w:r>
      <w:r w:rsidRPr="000919AC">
        <w:rPr>
          <w:rFonts w:asciiTheme="majorHAnsi" w:eastAsia="Arial" w:hAnsiTheme="majorHAnsi" w:cs="Arial"/>
          <w:sz w:val="24"/>
          <w:szCs w:val="24"/>
        </w:rPr>
        <w:t xml:space="preserve"> del presente</w:t>
      </w:r>
      <w:r w:rsidR="00103D9E">
        <w:rPr>
          <w:rFonts w:asciiTheme="majorHAnsi" w:eastAsia="Arial" w:hAnsiTheme="majorHAnsi" w:cs="Arial"/>
          <w:sz w:val="24"/>
          <w:szCs w:val="24"/>
        </w:rPr>
        <w:t>,</w:t>
      </w:r>
      <w:r w:rsidR="000414AD" w:rsidRPr="000919AC">
        <w:rPr>
          <w:rFonts w:asciiTheme="majorHAnsi" w:eastAsia="Arial" w:hAnsiTheme="majorHAnsi" w:cs="Arial"/>
          <w:sz w:val="24"/>
          <w:szCs w:val="24"/>
        </w:rPr>
        <w:t xml:space="preserve"> notifique a los </w:t>
      </w:r>
      <w:r w:rsidR="008A416E" w:rsidRPr="000919AC">
        <w:rPr>
          <w:rFonts w:asciiTheme="majorHAnsi" w:eastAsia="Arial" w:hAnsiTheme="majorHAnsi" w:cs="Arial"/>
          <w:sz w:val="24"/>
          <w:szCs w:val="24"/>
        </w:rPr>
        <w:t xml:space="preserve">sujetos obligados del Poder Ejecutivo, </w:t>
      </w:r>
      <w:r w:rsidR="000414AD" w:rsidRPr="000919AC">
        <w:rPr>
          <w:rFonts w:asciiTheme="majorHAnsi" w:eastAsia="Arial" w:hAnsiTheme="majorHAnsi" w:cs="Arial"/>
          <w:sz w:val="24"/>
          <w:szCs w:val="24"/>
        </w:rPr>
        <w:t>ayuntamientos, organismos municipales y partidos políticos, el acuerdo</w:t>
      </w:r>
      <w:r w:rsidR="00103D9E">
        <w:rPr>
          <w:rFonts w:asciiTheme="majorHAnsi" w:eastAsia="Arial" w:hAnsiTheme="majorHAnsi" w:cs="Arial"/>
          <w:sz w:val="24"/>
          <w:szCs w:val="24"/>
        </w:rPr>
        <w:t xml:space="preserve"> que hoy nos ocupa</w:t>
      </w:r>
      <w:bookmarkStart w:id="0" w:name="_GoBack"/>
      <w:bookmarkEnd w:id="0"/>
      <w:r w:rsidRPr="000919AC">
        <w:rPr>
          <w:rFonts w:asciiTheme="majorHAnsi" w:hAnsiTheme="majorHAnsi"/>
          <w:sz w:val="24"/>
          <w:szCs w:val="24"/>
        </w:rPr>
        <w:t>.</w:t>
      </w:r>
    </w:p>
    <w:p w:rsidR="0050662C" w:rsidRPr="000919AC" w:rsidRDefault="0050662C" w:rsidP="000919AC">
      <w:pPr>
        <w:spacing w:after="0" w:line="240" w:lineRule="auto"/>
        <w:jc w:val="both"/>
        <w:rPr>
          <w:rFonts w:asciiTheme="majorHAnsi" w:hAnsiTheme="majorHAnsi"/>
          <w:sz w:val="24"/>
          <w:szCs w:val="24"/>
        </w:rPr>
      </w:pPr>
    </w:p>
    <w:p w:rsidR="00545E0A" w:rsidRDefault="0050662C"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CUARTO.- </w:t>
      </w:r>
      <w:r w:rsidR="00905A05" w:rsidRPr="000919AC">
        <w:rPr>
          <w:rFonts w:asciiTheme="majorHAnsi" w:eastAsia="Arial" w:hAnsiTheme="majorHAnsi" w:cs="Arial"/>
          <w:sz w:val="24"/>
          <w:szCs w:val="24"/>
        </w:rPr>
        <w:t xml:space="preserve">Publíquese </w:t>
      </w:r>
      <w:r w:rsidR="000414AD" w:rsidRPr="000919AC">
        <w:rPr>
          <w:rFonts w:asciiTheme="majorHAnsi" w:eastAsia="Arial" w:hAnsiTheme="majorHAnsi" w:cs="Arial"/>
          <w:sz w:val="24"/>
          <w:szCs w:val="24"/>
        </w:rPr>
        <w:t>en el sitio de internet de este órgano garante</w:t>
      </w:r>
      <w:r w:rsidRPr="000919AC">
        <w:rPr>
          <w:rFonts w:asciiTheme="majorHAnsi" w:eastAsia="Arial" w:hAnsiTheme="majorHAnsi" w:cs="Arial"/>
          <w:sz w:val="24"/>
          <w:szCs w:val="24"/>
        </w:rPr>
        <w:t>.</w:t>
      </w:r>
    </w:p>
    <w:tbl>
      <w:tblPr>
        <w:tblW w:w="0" w:type="auto"/>
        <w:tblLook w:val="04A0"/>
      </w:tblPr>
      <w:tblGrid>
        <w:gridCol w:w="4414"/>
        <w:gridCol w:w="4414"/>
      </w:tblGrid>
      <w:tr w:rsidR="0044045B" w:rsidRPr="0044045B" w:rsidTr="0044045B">
        <w:tc>
          <w:tcPr>
            <w:tcW w:w="8828" w:type="dxa"/>
            <w:gridSpan w:val="2"/>
            <w:shd w:val="clear" w:color="auto" w:fill="auto"/>
          </w:tcPr>
          <w:p w:rsidR="0044045B" w:rsidRPr="0044045B" w:rsidRDefault="0044045B" w:rsidP="0044045B">
            <w:pPr>
              <w:spacing w:after="0" w:line="240" w:lineRule="auto"/>
              <w:rPr>
                <w:rFonts w:asciiTheme="majorHAnsi" w:hAnsiTheme="majorHAnsi" w:cs="Arial"/>
                <w:b/>
                <w:sz w:val="24"/>
                <w:szCs w:val="24"/>
              </w:rPr>
            </w:pPr>
          </w:p>
          <w:p w:rsidR="0044045B" w:rsidRPr="0044045B" w:rsidRDefault="0044045B" w:rsidP="0044045B">
            <w:pPr>
              <w:spacing w:after="0" w:line="240" w:lineRule="auto"/>
              <w:jc w:val="center"/>
              <w:rPr>
                <w:rFonts w:asciiTheme="majorHAnsi" w:hAnsiTheme="majorHAnsi" w:cs="Arial"/>
                <w:b/>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r>
              <w:rPr>
                <w:rFonts w:asciiTheme="majorHAnsi" w:hAnsiTheme="majorHAnsi" w:cs="Arial"/>
                <w:b/>
                <w:bCs/>
                <w:sz w:val="24"/>
                <w:szCs w:val="24"/>
              </w:rPr>
              <w:t>(RUBRICA)</w:t>
            </w:r>
          </w:p>
          <w:p w:rsidR="0044045B" w:rsidRPr="0044045B" w:rsidRDefault="0044045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jc w:val="center"/>
              <w:rPr>
                <w:rFonts w:asciiTheme="majorHAnsi" w:hAnsiTheme="majorHAnsi" w:cs="Arial"/>
                <w:b/>
                <w:bCs/>
                <w:sz w:val="24"/>
                <w:szCs w:val="24"/>
              </w:rPr>
            </w:pPr>
            <w:r w:rsidRPr="0044045B">
              <w:rPr>
                <w:rFonts w:asciiTheme="majorHAnsi" w:hAnsiTheme="majorHAnsi" w:cs="Arial"/>
                <w:b/>
                <w:bCs/>
                <w:sz w:val="24"/>
                <w:szCs w:val="24"/>
              </w:rPr>
              <w:t>LICDA. SUSANA AGUILAR COVARRUBIAS</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sz w:val="24"/>
                <w:szCs w:val="24"/>
              </w:rPr>
              <w:t>COMISIONADA PRESIDENTA</w:t>
            </w:r>
          </w:p>
        </w:tc>
      </w:tr>
      <w:tr w:rsidR="0044045B" w:rsidRPr="0044045B" w:rsidTr="0044045B">
        <w:tc>
          <w:tcPr>
            <w:tcW w:w="4414" w:type="dxa"/>
            <w:shd w:val="clear" w:color="auto" w:fill="auto"/>
          </w:tcPr>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r>
              <w:rPr>
                <w:rFonts w:asciiTheme="majorHAnsi" w:hAnsiTheme="majorHAnsi" w:cs="Arial"/>
                <w:b/>
                <w:bCs/>
                <w:sz w:val="24"/>
                <w:szCs w:val="24"/>
              </w:rPr>
              <w:t>(RUBRICA)</w:t>
            </w:r>
          </w:p>
          <w:p w:rsidR="0044045B" w:rsidRPr="0044045B" w:rsidRDefault="0044045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rPr>
                <w:rFonts w:asciiTheme="majorHAnsi" w:hAnsiTheme="majorHAnsi" w:cs="Arial"/>
                <w:b/>
                <w:bCs/>
                <w:sz w:val="24"/>
                <w:szCs w:val="24"/>
              </w:rPr>
            </w:pPr>
            <w:r w:rsidRPr="0044045B">
              <w:rPr>
                <w:rFonts w:asciiTheme="majorHAnsi" w:hAnsiTheme="majorHAnsi" w:cs="Arial"/>
                <w:b/>
                <w:bCs/>
                <w:sz w:val="24"/>
                <w:szCs w:val="24"/>
              </w:rPr>
              <w:t>LICDA. MARÍA EUGENIA SANSORES RUZ</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bCs/>
                <w:sz w:val="24"/>
                <w:szCs w:val="24"/>
              </w:rPr>
              <w:t>COMISIONADA</w:t>
            </w:r>
          </w:p>
        </w:tc>
        <w:tc>
          <w:tcPr>
            <w:tcW w:w="4414" w:type="dxa"/>
            <w:shd w:val="clear" w:color="auto" w:fill="auto"/>
          </w:tcPr>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r>
              <w:rPr>
                <w:rFonts w:asciiTheme="majorHAnsi" w:hAnsiTheme="majorHAnsi" w:cs="Arial"/>
                <w:b/>
                <w:bCs/>
                <w:sz w:val="24"/>
                <w:szCs w:val="24"/>
              </w:rPr>
              <w:t>(RUBRICA)</w:t>
            </w:r>
          </w:p>
          <w:p w:rsidR="0044045B" w:rsidRPr="0044045B" w:rsidRDefault="0044045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sz w:val="24"/>
                <w:szCs w:val="24"/>
              </w:rPr>
              <w:t>LIC. ALDRIN MARTÍN BRICEÑO CONRADO</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bCs/>
                <w:sz w:val="24"/>
                <w:szCs w:val="24"/>
              </w:rPr>
              <w:t>COMISIONADO</w:t>
            </w:r>
          </w:p>
        </w:tc>
      </w:tr>
    </w:tbl>
    <w:p w:rsidR="000479CD" w:rsidRPr="000919AC" w:rsidRDefault="000479CD" w:rsidP="00A40E47">
      <w:pPr>
        <w:spacing w:after="0" w:line="240" w:lineRule="auto"/>
        <w:jc w:val="center"/>
        <w:rPr>
          <w:rFonts w:asciiTheme="majorHAnsi" w:eastAsia="Arial" w:hAnsiTheme="majorHAnsi" w:cs="Arial"/>
          <w:b/>
          <w:sz w:val="24"/>
          <w:szCs w:val="24"/>
        </w:rPr>
      </w:pPr>
    </w:p>
    <w:sectPr w:rsidR="000479CD" w:rsidRPr="000919AC" w:rsidSect="00244A84">
      <w:headerReference w:type="default" r:id="rId8"/>
      <w:footerReference w:type="default" r:id="rId9"/>
      <w:type w:val="continuous"/>
      <w:pgSz w:w="15840" w:h="12240" w:orient="landscape"/>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83" w:rsidRDefault="005A2483">
      <w:pPr>
        <w:spacing w:after="0" w:line="240" w:lineRule="auto"/>
      </w:pPr>
      <w:r>
        <w:separator/>
      </w:r>
    </w:p>
  </w:endnote>
  <w:endnote w:type="continuationSeparator" w:id="1">
    <w:p w:rsidR="005A2483" w:rsidRDefault="005A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3540"/>
      <w:docPartObj>
        <w:docPartGallery w:val="Page Numbers (Bottom of Page)"/>
        <w:docPartUnique/>
      </w:docPartObj>
    </w:sdtPr>
    <w:sdtContent>
      <w:p w:rsidR="00D021B4" w:rsidRDefault="00CC0055">
        <w:pPr>
          <w:pStyle w:val="Piedepgina"/>
          <w:jc w:val="right"/>
        </w:pPr>
        <w:fldSimple w:instr=" PAGE   \* MERGEFORMAT ">
          <w:r w:rsidR="00751EE2">
            <w:rPr>
              <w:noProof/>
            </w:rPr>
            <w:t>31</w:t>
          </w:r>
        </w:fldSimple>
      </w:p>
    </w:sdtContent>
  </w:sdt>
  <w:p w:rsidR="00D021B4" w:rsidRDefault="00D021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83" w:rsidRDefault="005A2483">
      <w:pPr>
        <w:spacing w:after="0" w:line="240" w:lineRule="auto"/>
      </w:pPr>
      <w:r>
        <w:separator/>
      </w:r>
    </w:p>
  </w:footnote>
  <w:footnote w:type="continuationSeparator" w:id="1">
    <w:p w:rsidR="005A2483" w:rsidRDefault="005A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B4" w:rsidRDefault="00D021B4">
    <w:pPr>
      <w:pStyle w:val="Encabezado"/>
    </w:pPr>
    <w:r>
      <w:rPr>
        <w:noProof/>
        <w:lang w:val="es-ES" w:eastAsia="es-ES"/>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D021B4" w:rsidRDefault="00D021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C96377"/>
    <w:rsid w:val="00004EDF"/>
    <w:rsid w:val="000071D7"/>
    <w:rsid w:val="00020AD8"/>
    <w:rsid w:val="0002140A"/>
    <w:rsid w:val="000215CF"/>
    <w:rsid w:val="000317AB"/>
    <w:rsid w:val="00031A83"/>
    <w:rsid w:val="000340E5"/>
    <w:rsid w:val="000414AD"/>
    <w:rsid w:val="000454BF"/>
    <w:rsid w:val="000479CD"/>
    <w:rsid w:val="000540BD"/>
    <w:rsid w:val="0005547B"/>
    <w:rsid w:val="000561A7"/>
    <w:rsid w:val="00067719"/>
    <w:rsid w:val="00075EBF"/>
    <w:rsid w:val="00081527"/>
    <w:rsid w:val="00084179"/>
    <w:rsid w:val="00085008"/>
    <w:rsid w:val="000919AC"/>
    <w:rsid w:val="000925B9"/>
    <w:rsid w:val="0009262C"/>
    <w:rsid w:val="00092C59"/>
    <w:rsid w:val="00092FC7"/>
    <w:rsid w:val="000962B8"/>
    <w:rsid w:val="000977A4"/>
    <w:rsid w:val="000A1022"/>
    <w:rsid w:val="000A1C54"/>
    <w:rsid w:val="000A32F2"/>
    <w:rsid w:val="000B2C6B"/>
    <w:rsid w:val="000B6899"/>
    <w:rsid w:val="000D1CA5"/>
    <w:rsid w:val="000D1D47"/>
    <w:rsid w:val="000E1784"/>
    <w:rsid w:val="000E456D"/>
    <w:rsid w:val="000E467C"/>
    <w:rsid w:val="000E6D6D"/>
    <w:rsid w:val="000E7B9F"/>
    <w:rsid w:val="000F0C05"/>
    <w:rsid w:val="000F4D33"/>
    <w:rsid w:val="00103D9E"/>
    <w:rsid w:val="00107390"/>
    <w:rsid w:val="001109EE"/>
    <w:rsid w:val="001158E2"/>
    <w:rsid w:val="001160AC"/>
    <w:rsid w:val="00116E3B"/>
    <w:rsid w:val="0011797E"/>
    <w:rsid w:val="00121A35"/>
    <w:rsid w:val="001433DD"/>
    <w:rsid w:val="00144A0F"/>
    <w:rsid w:val="00146FC7"/>
    <w:rsid w:val="00150B8D"/>
    <w:rsid w:val="00152A49"/>
    <w:rsid w:val="0015307D"/>
    <w:rsid w:val="00157959"/>
    <w:rsid w:val="0016053B"/>
    <w:rsid w:val="00161514"/>
    <w:rsid w:val="00163E09"/>
    <w:rsid w:val="001744A7"/>
    <w:rsid w:val="00176082"/>
    <w:rsid w:val="001809D9"/>
    <w:rsid w:val="00192E51"/>
    <w:rsid w:val="001971EB"/>
    <w:rsid w:val="001A0F52"/>
    <w:rsid w:val="001A3D76"/>
    <w:rsid w:val="001A5928"/>
    <w:rsid w:val="001A6B69"/>
    <w:rsid w:val="001B2453"/>
    <w:rsid w:val="001B5885"/>
    <w:rsid w:val="001B68B0"/>
    <w:rsid w:val="001B6F56"/>
    <w:rsid w:val="001C0596"/>
    <w:rsid w:val="001C6ACA"/>
    <w:rsid w:val="001C78FF"/>
    <w:rsid w:val="001C7C21"/>
    <w:rsid w:val="001D1C90"/>
    <w:rsid w:val="001D2BBE"/>
    <w:rsid w:val="001D39D3"/>
    <w:rsid w:val="001D4329"/>
    <w:rsid w:val="001D7085"/>
    <w:rsid w:val="001E7478"/>
    <w:rsid w:val="001F4541"/>
    <w:rsid w:val="0020546F"/>
    <w:rsid w:val="00214F0A"/>
    <w:rsid w:val="00216830"/>
    <w:rsid w:val="002259C5"/>
    <w:rsid w:val="00234D8D"/>
    <w:rsid w:val="002413D1"/>
    <w:rsid w:val="00242D91"/>
    <w:rsid w:val="00244A84"/>
    <w:rsid w:val="00253E8D"/>
    <w:rsid w:val="002601A3"/>
    <w:rsid w:val="0026020B"/>
    <w:rsid w:val="00260D66"/>
    <w:rsid w:val="0026202F"/>
    <w:rsid w:val="00263828"/>
    <w:rsid w:val="00266580"/>
    <w:rsid w:val="0026712D"/>
    <w:rsid w:val="00267257"/>
    <w:rsid w:val="0028142D"/>
    <w:rsid w:val="002847A4"/>
    <w:rsid w:val="0028747C"/>
    <w:rsid w:val="002918D2"/>
    <w:rsid w:val="00296FB5"/>
    <w:rsid w:val="002A0AC3"/>
    <w:rsid w:val="002A16A1"/>
    <w:rsid w:val="002A2785"/>
    <w:rsid w:val="002A74C9"/>
    <w:rsid w:val="002B4AAB"/>
    <w:rsid w:val="002B5977"/>
    <w:rsid w:val="002B704F"/>
    <w:rsid w:val="002C4F4E"/>
    <w:rsid w:val="002D29A8"/>
    <w:rsid w:val="002D2E32"/>
    <w:rsid w:val="002F1209"/>
    <w:rsid w:val="002F25C1"/>
    <w:rsid w:val="002F5CDD"/>
    <w:rsid w:val="002F6F97"/>
    <w:rsid w:val="002F757D"/>
    <w:rsid w:val="002F78C8"/>
    <w:rsid w:val="002F7989"/>
    <w:rsid w:val="00300372"/>
    <w:rsid w:val="003010A0"/>
    <w:rsid w:val="003162C9"/>
    <w:rsid w:val="003164A3"/>
    <w:rsid w:val="00330A4A"/>
    <w:rsid w:val="00340D7B"/>
    <w:rsid w:val="003516E9"/>
    <w:rsid w:val="00351DD9"/>
    <w:rsid w:val="0035215C"/>
    <w:rsid w:val="00354281"/>
    <w:rsid w:val="00367B19"/>
    <w:rsid w:val="003714F8"/>
    <w:rsid w:val="003730AC"/>
    <w:rsid w:val="00373F25"/>
    <w:rsid w:val="003816E8"/>
    <w:rsid w:val="00390694"/>
    <w:rsid w:val="0039456A"/>
    <w:rsid w:val="003A0AF3"/>
    <w:rsid w:val="003A6170"/>
    <w:rsid w:val="003A6412"/>
    <w:rsid w:val="003A780D"/>
    <w:rsid w:val="003A7A47"/>
    <w:rsid w:val="003B008B"/>
    <w:rsid w:val="003B243D"/>
    <w:rsid w:val="003B2AC9"/>
    <w:rsid w:val="003B5FE4"/>
    <w:rsid w:val="003C29B3"/>
    <w:rsid w:val="003C457B"/>
    <w:rsid w:val="003D602D"/>
    <w:rsid w:val="003E417F"/>
    <w:rsid w:val="003E6DEA"/>
    <w:rsid w:val="003E7C2B"/>
    <w:rsid w:val="003F2201"/>
    <w:rsid w:val="003F2C7A"/>
    <w:rsid w:val="003F3270"/>
    <w:rsid w:val="003F3634"/>
    <w:rsid w:val="003F4DF1"/>
    <w:rsid w:val="003F5031"/>
    <w:rsid w:val="003F585E"/>
    <w:rsid w:val="003F7952"/>
    <w:rsid w:val="003F7DA1"/>
    <w:rsid w:val="00401D14"/>
    <w:rsid w:val="00402EAD"/>
    <w:rsid w:val="004037A1"/>
    <w:rsid w:val="00410B7D"/>
    <w:rsid w:val="0042185C"/>
    <w:rsid w:val="00422341"/>
    <w:rsid w:val="00423747"/>
    <w:rsid w:val="0044045B"/>
    <w:rsid w:val="004516DC"/>
    <w:rsid w:val="004527E5"/>
    <w:rsid w:val="0045325F"/>
    <w:rsid w:val="00454513"/>
    <w:rsid w:val="004607DB"/>
    <w:rsid w:val="004634F1"/>
    <w:rsid w:val="00466359"/>
    <w:rsid w:val="00466C12"/>
    <w:rsid w:val="004704D3"/>
    <w:rsid w:val="004755A1"/>
    <w:rsid w:val="004952DE"/>
    <w:rsid w:val="004A00AB"/>
    <w:rsid w:val="004A0293"/>
    <w:rsid w:val="004A1E30"/>
    <w:rsid w:val="004A40A8"/>
    <w:rsid w:val="004B2313"/>
    <w:rsid w:val="004B5713"/>
    <w:rsid w:val="004B5F8E"/>
    <w:rsid w:val="004C4C5D"/>
    <w:rsid w:val="004D1FE1"/>
    <w:rsid w:val="004D287E"/>
    <w:rsid w:val="004E79E1"/>
    <w:rsid w:val="004F4FE2"/>
    <w:rsid w:val="004F6C82"/>
    <w:rsid w:val="004F75B6"/>
    <w:rsid w:val="005060B8"/>
    <w:rsid w:val="0050662C"/>
    <w:rsid w:val="005073CE"/>
    <w:rsid w:val="00510DA9"/>
    <w:rsid w:val="00526642"/>
    <w:rsid w:val="00530A72"/>
    <w:rsid w:val="0053148D"/>
    <w:rsid w:val="00545E0A"/>
    <w:rsid w:val="00546A08"/>
    <w:rsid w:val="00551F8B"/>
    <w:rsid w:val="005604F7"/>
    <w:rsid w:val="005611FC"/>
    <w:rsid w:val="00561D42"/>
    <w:rsid w:val="005700C1"/>
    <w:rsid w:val="00570CCA"/>
    <w:rsid w:val="005730BC"/>
    <w:rsid w:val="00574205"/>
    <w:rsid w:val="00580068"/>
    <w:rsid w:val="00580E0D"/>
    <w:rsid w:val="005821FD"/>
    <w:rsid w:val="00582AA2"/>
    <w:rsid w:val="0059597A"/>
    <w:rsid w:val="005A2483"/>
    <w:rsid w:val="005A3DF8"/>
    <w:rsid w:val="005A684A"/>
    <w:rsid w:val="005A7222"/>
    <w:rsid w:val="005B6A86"/>
    <w:rsid w:val="005B7F55"/>
    <w:rsid w:val="005C41D3"/>
    <w:rsid w:val="005C5DD8"/>
    <w:rsid w:val="005D28AB"/>
    <w:rsid w:val="005D3932"/>
    <w:rsid w:val="005D42B8"/>
    <w:rsid w:val="005E18A4"/>
    <w:rsid w:val="005E19D8"/>
    <w:rsid w:val="005F0D74"/>
    <w:rsid w:val="005F3418"/>
    <w:rsid w:val="00601076"/>
    <w:rsid w:val="00604B18"/>
    <w:rsid w:val="00606985"/>
    <w:rsid w:val="006136C0"/>
    <w:rsid w:val="00614B14"/>
    <w:rsid w:val="006159DD"/>
    <w:rsid w:val="00620069"/>
    <w:rsid w:val="00621EB7"/>
    <w:rsid w:val="0062501A"/>
    <w:rsid w:val="006311FC"/>
    <w:rsid w:val="006455A2"/>
    <w:rsid w:val="00647639"/>
    <w:rsid w:val="006476EF"/>
    <w:rsid w:val="00657BBD"/>
    <w:rsid w:val="00670F83"/>
    <w:rsid w:val="00671C05"/>
    <w:rsid w:val="006772C5"/>
    <w:rsid w:val="00677D06"/>
    <w:rsid w:val="006806C4"/>
    <w:rsid w:val="0068252D"/>
    <w:rsid w:val="006848E0"/>
    <w:rsid w:val="0069163F"/>
    <w:rsid w:val="00691B34"/>
    <w:rsid w:val="006967AC"/>
    <w:rsid w:val="006A1DB5"/>
    <w:rsid w:val="006A20CD"/>
    <w:rsid w:val="006A30CF"/>
    <w:rsid w:val="006A45B7"/>
    <w:rsid w:val="006A7BDA"/>
    <w:rsid w:val="006B2575"/>
    <w:rsid w:val="006B48DD"/>
    <w:rsid w:val="006C04EE"/>
    <w:rsid w:val="006C0633"/>
    <w:rsid w:val="006C3719"/>
    <w:rsid w:val="006C4DCC"/>
    <w:rsid w:val="006C5CC3"/>
    <w:rsid w:val="006D20CC"/>
    <w:rsid w:val="006E5411"/>
    <w:rsid w:val="006F2C34"/>
    <w:rsid w:val="00701099"/>
    <w:rsid w:val="00702913"/>
    <w:rsid w:val="0071535C"/>
    <w:rsid w:val="00715B0F"/>
    <w:rsid w:val="00722ACF"/>
    <w:rsid w:val="0072504F"/>
    <w:rsid w:val="00730E67"/>
    <w:rsid w:val="00731529"/>
    <w:rsid w:val="00731F58"/>
    <w:rsid w:val="00732881"/>
    <w:rsid w:val="00732D45"/>
    <w:rsid w:val="00735D56"/>
    <w:rsid w:val="007369DF"/>
    <w:rsid w:val="00740DDF"/>
    <w:rsid w:val="00741171"/>
    <w:rsid w:val="00743B75"/>
    <w:rsid w:val="007462A0"/>
    <w:rsid w:val="00747B21"/>
    <w:rsid w:val="00751012"/>
    <w:rsid w:val="00751EE2"/>
    <w:rsid w:val="0075493D"/>
    <w:rsid w:val="00762917"/>
    <w:rsid w:val="0077790E"/>
    <w:rsid w:val="0078249F"/>
    <w:rsid w:val="00783ADD"/>
    <w:rsid w:val="00790144"/>
    <w:rsid w:val="007922B9"/>
    <w:rsid w:val="007B1E58"/>
    <w:rsid w:val="007B6AFB"/>
    <w:rsid w:val="007C3054"/>
    <w:rsid w:val="007C38B1"/>
    <w:rsid w:val="007C5CCB"/>
    <w:rsid w:val="007E0ACA"/>
    <w:rsid w:val="007E2638"/>
    <w:rsid w:val="007E37CC"/>
    <w:rsid w:val="007E6A9E"/>
    <w:rsid w:val="007E7ACF"/>
    <w:rsid w:val="007F0AD1"/>
    <w:rsid w:val="007F4425"/>
    <w:rsid w:val="007F5208"/>
    <w:rsid w:val="007F6B68"/>
    <w:rsid w:val="0080055D"/>
    <w:rsid w:val="00801827"/>
    <w:rsid w:val="008041E6"/>
    <w:rsid w:val="00807346"/>
    <w:rsid w:val="008106CF"/>
    <w:rsid w:val="00810F7A"/>
    <w:rsid w:val="008164F0"/>
    <w:rsid w:val="00826E6D"/>
    <w:rsid w:val="00833E35"/>
    <w:rsid w:val="00836E3C"/>
    <w:rsid w:val="008434A1"/>
    <w:rsid w:val="00844F15"/>
    <w:rsid w:val="00847D11"/>
    <w:rsid w:val="0085000A"/>
    <w:rsid w:val="00851856"/>
    <w:rsid w:val="00853B09"/>
    <w:rsid w:val="00862C7F"/>
    <w:rsid w:val="00866BBD"/>
    <w:rsid w:val="008705C5"/>
    <w:rsid w:val="00870623"/>
    <w:rsid w:val="00875E38"/>
    <w:rsid w:val="00881E2E"/>
    <w:rsid w:val="008859EB"/>
    <w:rsid w:val="008A0080"/>
    <w:rsid w:val="008A2B9F"/>
    <w:rsid w:val="008A416E"/>
    <w:rsid w:val="008A4824"/>
    <w:rsid w:val="008A64B0"/>
    <w:rsid w:val="008A6627"/>
    <w:rsid w:val="008B2026"/>
    <w:rsid w:val="008B39DF"/>
    <w:rsid w:val="008C7107"/>
    <w:rsid w:val="008C7C20"/>
    <w:rsid w:val="008E16E5"/>
    <w:rsid w:val="008F2872"/>
    <w:rsid w:val="008F493B"/>
    <w:rsid w:val="008F5EEE"/>
    <w:rsid w:val="00902388"/>
    <w:rsid w:val="00905181"/>
    <w:rsid w:val="00905A05"/>
    <w:rsid w:val="009128C7"/>
    <w:rsid w:val="009160F1"/>
    <w:rsid w:val="00921F09"/>
    <w:rsid w:val="0092213D"/>
    <w:rsid w:val="009311F7"/>
    <w:rsid w:val="00931A05"/>
    <w:rsid w:val="00937F61"/>
    <w:rsid w:val="009417C6"/>
    <w:rsid w:val="00943267"/>
    <w:rsid w:val="0094360B"/>
    <w:rsid w:val="00944A5B"/>
    <w:rsid w:val="009522D6"/>
    <w:rsid w:val="009543DE"/>
    <w:rsid w:val="0095597A"/>
    <w:rsid w:val="00956729"/>
    <w:rsid w:val="00957999"/>
    <w:rsid w:val="009605DD"/>
    <w:rsid w:val="009606C4"/>
    <w:rsid w:val="0096423A"/>
    <w:rsid w:val="00964D20"/>
    <w:rsid w:val="009713D6"/>
    <w:rsid w:val="00974575"/>
    <w:rsid w:val="009762E1"/>
    <w:rsid w:val="0098404B"/>
    <w:rsid w:val="00984552"/>
    <w:rsid w:val="00987BFB"/>
    <w:rsid w:val="0099788B"/>
    <w:rsid w:val="009B4A9B"/>
    <w:rsid w:val="009B7D5D"/>
    <w:rsid w:val="009C7ECC"/>
    <w:rsid w:val="009D3474"/>
    <w:rsid w:val="009D5EB5"/>
    <w:rsid w:val="009E1728"/>
    <w:rsid w:val="009F16AA"/>
    <w:rsid w:val="009F1E55"/>
    <w:rsid w:val="009F518E"/>
    <w:rsid w:val="009F650A"/>
    <w:rsid w:val="00A034CF"/>
    <w:rsid w:val="00A04C06"/>
    <w:rsid w:val="00A1491D"/>
    <w:rsid w:val="00A16D01"/>
    <w:rsid w:val="00A1788B"/>
    <w:rsid w:val="00A210FE"/>
    <w:rsid w:val="00A269A1"/>
    <w:rsid w:val="00A31801"/>
    <w:rsid w:val="00A34D90"/>
    <w:rsid w:val="00A40E47"/>
    <w:rsid w:val="00A41505"/>
    <w:rsid w:val="00A4487E"/>
    <w:rsid w:val="00A46318"/>
    <w:rsid w:val="00A50515"/>
    <w:rsid w:val="00A51F17"/>
    <w:rsid w:val="00A5583B"/>
    <w:rsid w:val="00A617CD"/>
    <w:rsid w:val="00A61DD3"/>
    <w:rsid w:val="00A6726A"/>
    <w:rsid w:val="00A674ED"/>
    <w:rsid w:val="00A7049F"/>
    <w:rsid w:val="00A74E89"/>
    <w:rsid w:val="00A77257"/>
    <w:rsid w:val="00A81D3E"/>
    <w:rsid w:val="00A85DA7"/>
    <w:rsid w:val="00A865BE"/>
    <w:rsid w:val="00A94178"/>
    <w:rsid w:val="00A94257"/>
    <w:rsid w:val="00AA502E"/>
    <w:rsid w:val="00AB46AF"/>
    <w:rsid w:val="00AC4F49"/>
    <w:rsid w:val="00AC6D42"/>
    <w:rsid w:val="00AC7E7A"/>
    <w:rsid w:val="00AD3753"/>
    <w:rsid w:val="00AD40B1"/>
    <w:rsid w:val="00AD5C53"/>
    <w:rsid w:val="00AE308A"/>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708E"/>
    <w:rsid w:val="00B3227A"/>
    <w:rsid w:val="00B33254"/>
    <w:rsid w:val="00B42CA5"/>
    <w:rsid w:val="00B431B0"/>
    <w:rsid w:val="00B46B78"/>
    <w:rsid w:val="00B5141E"/>
    <w:rsid w:val="00B5250D"/>
    <w:rsid w:val="00B54AE7"/>
    <w:rsid w:val="00B56B19"/>
    <w:rsid w:val="00B60444"/>
    <w:rsid w:val="00B66B74"/>
    <w:rsid w:val="00B70140"/>
    <w:rsid w:val="00B805A5"/>
    <w:rsid w:val="00B80A72"/>
    <w:rsid w:val="00B871AA"/>
    <w:rsid w:val="00B9156B"/>
    <w:rsid w:val="00B93606"/>
    <w:rsid w:val="00B93C43"/>
    <w:rsid w:val="00B93CB9"/>
    <w:rsid w:val="00B959BC"/>
    <w:rsid w:val="00B97883"/>
    <w:rsid w:val="00B97AF5"/>
    <w:rsid w:val="00BA28F0"/>
    <w:rsid w:val="00BC046D"/>
    <w:rsid w:val="00BC696D"/>
    <w:rsid w:val="00BD1C35"/>
    <w:rsid w:val="00BE45E0"/>
    <w:rsid w:val="00BF2C09"/>
    <w:rsid w:val="00BF44CD"/>
    <w:rsid w:val="00BF5B57"/>
    <w:rsid w:val="00C042D9"/>
    <w:rsid w:val="00C10F91"/>
    <w:rsid w:val="00C13D1C"/>
    <w:rsid w:val="00C20F21"/>
    <w:rsid w:val="00C23BAE"/>
    <w:rsid w:val="00C27C05"/>
    <w:rsid w:val="00C30344"/>
    <w:rsid w:val="00C31F39"/>
    <w:rsid w:val="00C36E52"/>
    <w:rsid w:val="00C44869"/>
    <w:rsid w:val="00C51C63"/>
    <w:rsid w:val="00C52138"/>
    <w:rsid w:val="00C60219"/>
    <w:rsid w:val="00C6057E"/>
    <w:rsid w:val="00C6362C"/>
    <w:rsid w:val="00C64B1C"/>
    <w:rsid w:val="00C6621E"/>
    <w:rsid w:val="00C66BB5"/>
    <w:rsid w:val="00C67365"/>
    <w:rsid w:val="00C72CE5"/>
    <w:rsid w:val="00C74906"/>
    <w:rsid w:val="00C83FC1"/>
    <w:rsid w:val="00C90720"/>
    <w:rsid w:val="00C96377"/>
    <w:rsid w:val="00C97021"/>
    <w:rsid w:val="00CA6D0F"/>
    <w:rsid w:val="00CB6B36"/>
    <w:rsid w:val="00CC0055"/>
    <w:rsid w:val="00CD2C73"/>
    <w:rsid w:val="00CD3508"/>
    <w:rsid w:val="00CD6D25"/>
    <w:rsid w:val="00CE01B8"/>
    <w:rsid w:val="00CF5992"/>
    <w:rsid w:val="00CF786B"/>
    <w:rsid w:val="00D021B4"/>
    <w:rsid w:val="00D12955"/>
    <w:rsid w:val="00D178F4"/>
    <w:rsid w:val="00D21E38"/>
    <w:rsid w:val="00D2666F"/>
    <w:rsid w:val="00D33A34"/>
    <w:rsid w:val="00D343E9"/>
    <w:rsid w:val="00D36E39"/>
    <w:rsid w:val="00D43BD4"/>
    <w:rsid w:val="00D467E5"/>
    <w:rsid w:val="00D4693B"/>
    <w:rsid w:val="00D60A6A"/>
    <w:rsid w:val="00D619D5"/>
    <w:rsid w:val="00D63AF7"/>
    <w:rsid w:val="00D70332"/>
    <w:rsid w:val="00D7253B"/>
    <w:rsid w:val="00D74ACA"/>
    <w:rsid w:val="00D7586C"/>
    <w:rsid w:val="00D76707"/>
    <w:rsid w:val="00D8010F"/>
    <w:rsid w:val="00D813A4"/>
    <w:rsid w:val="00D85455"/>
    <w:rsid w:val="00D94442"/>
    <w:rsid w:val="00DB66A8"/>
    <w:rsid w:val="00DB66E8"/>
    <w:rsid w:val="00DB7FB5"/>
    <w:rsid w:val="00DC4CF8"/>
    <w:rsid w:val="00DD540C"/>
    <w:rsid w:val="00DD5722"/>
    <w:rsid w:val="00DE15F6"/>
    <w:rsid w:val="00DE410C"/>
    <w:rsid w:val="00DE4F2D"/>
    <w:rsid w:val="00DE5278"/>
    <w:rsid w:val="00DF0DDB"/>
    <w:rsid w:val="00DF7F7E"/>
    <w:rsid w:val="00E122FC"/>
    <w:rsid w:val="00E1259A"/>
    <w:rsid w:val="00E13DAF"/>
    <w:rsid w:val="00E374EF"/>
    <w:rsid w:val="00E42CB8"/>
    <w:rsid w:val="00E450F3"/>
    <w:rsid w:val="00E45DF0"/>
    <w:rsid w:val="00E47ECC"/>
    <w:rsid w:val="00E50092"/>
    <w:rsid w:val="00E525BA"/>
    <w:rsid w:val="00E6086D"/>
    <w:rsid w:val="00E618FF"/>
    <w:rsid w:val="00E6237B"/>
    <w:rsid w:val="00E67522"/>
    <w:rsid w:val="00E72261"/>
    <w:rsid w:val="00E75F17"/>
    <w:rsid w:val="00E762D8"/>
    <w:rsid w:val="00E826E8"/>
    <w:rsid w:val="00E83981"/>
    <w:rsid w:val="00E83BCA"/>
    <w:rsid w:val="00E87EF2"/>
    <w:rsid w:val="00E9762C"/>
    <w:rsid w:val="00EA574B"/>
    <w:rsid w:val="00EB3198"/>
    <w:rsid w:val="00EB36F2"/>
    <w:rsid w:val="00EC29A9"/>
    <w:rsid w:val="00EC4C0B"/>
    <w:rsid w:val="00ED7F39"/>
    <w:rsid w:val="00EF6259"/>
    <w:rsid w:val="00F044C8"/>
    <w:rsid w:val="00F04F4B"/>
    <w:rsid w:val="00F054DA"/>
    <w:rsid w:val="00F06549"/>
    <w:rsid w:val="00F107FE"/>
    <w:rsid w:val="00F24BCE"/>
    <w:rsid w:val="00F25B69"/>
    <w:rsid w:val="00F35CF4"/>
    <w:rsid w:val="00F405BD"/>
    <w:rsid w:val="00F4138E"/>
    <w:rsid w:val="00F42317"/>
    <w:rsid w:val="00F44026"/>
    <w:rsid w:val="00F5442D"/>
    <w:rsid w:val="00F609C8"/>
    <w:rsid w:val="00F63A0D"/>
    <w:rsid w:val="00F71174"/>
    <w:rsid w:val="00F83B17"/>
    <w:rsid w:val="00F86FA7"/>
    <w:rsid w:val="00FA0B01"/>
    <w:rsid w:val="00FA0D53"/>
    <w:rsid w:val="00FA1B9A"/>
    <w:rsid w:val="00FA36C7"/>
    <w:rsid w:val="00FA76CF"/>
    <w:rsid w:val="00FB114E"/>
    <w:rsid w:val="00FB2DB0"/>
    <w:rsid w:val="00FB3D7D"/>
    <w:rsid w:val="00FB5474"/>
    <w:rsid w:val="00FC29A3"/>
    <w:rsid w:val="00FC474E"/>
    <w:rsid w:val="00FC4880"/>
    <w:rsid w:val="00FC7186"/>
    <w:rsid w:val="00FD66DA"/>
    <w:rsid w:val="00FE51DB"/>
    <w:rsid w:val="00FF2381"/>
    <w:rsid w:val="00FF61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EDF73-48D1-4761-A989-31406B04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6518</Words>
  <Characters>35851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Angelica.Chi</cp:lastModifiedBy>
  <cp:revision>3</cp:revision>
  <cp:lastPrinted>2017-05-16T20:50:00Z</cp:lastPrinted>
  <dcterms:created xsi:type="dcterms:W3CDTF">2017-05-16T21:11:00Z</dcterms:created>
  <dcterms:modified xsi:type="dcterms:W3CDTF">2019-01-17T21:32:00Z</dcterms:modified>
</cp:coreProperties>
</file>